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ميثاق التحول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ميثاق التحول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2026-10-25 02:15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01a17033-0f46-7558-9a80-cf3aec3d603f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ميثاق التحول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International Roaming Transformation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قائد 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مبررات التغيير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has value leakage from low adoption, fragmented propositions, inconsistent digital activation and avoidable CX friction.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ضمن النطاق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Outcomes: Revenue growth; higher attach/activation; improved partner economics; fewer complaints; higher digital self-service. Initiatives: Pass architecture redesign; digital activation; proactive travel triggers; partner-cost optimization; QoS monitoring; care simplification; analytics.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خارج النطاق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Domestic tariffs and non-roaming propositions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خط الأساس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2026-06-01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الأفق الزمني المستهدف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18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الأفق الزمني المستهدف (الوحدة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أشهر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منتدى الحوكمة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Monthly executive review; bi-weekly transformation review; weekly workstreams; monthly value review with Finance.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صلاحيات 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Per the T11 decision rights matrix of this transformation (synthetic).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تعريف النجاح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Benefits: Incremental roaming revenue, margin improvement, complaint reduction, digital adoption, avoided care cost.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إذا غيّرنا (القدرات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الرحلات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النموذج التشغيلي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the roaming pass architecture, the digital activation journey and the partner model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فستتحسّن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… (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 للعملاء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التشغيلية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attach and activation, complaint rate and partner economics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مما سيحقق (المنافع المالية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الاستراتيجية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incremental roaming revenue, avoided care cost and margin improvement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لأن (الدليل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المنطق السببي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low activation, high complaints and partner cost pressure are the diagnosed causes of roaming value leakage (synthetic).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 (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النجم الشمالي (الغاية العليا</w:t>
      </w: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)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 w:val="false"/>
          <w:lang w:val="ar-SA" w:bidi="ar-SA"/>
        </w:rPr>
        <w:t xml:space="preserve">Make international roaming effortless, trusted and economically accretive.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ينطبق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أهم النتائج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5094"/>
        <w:gridCol w:w="2377"/>
      </w:tblGrid>
      <w:tr>
        <w:trPr>
          <w:tblHeader/>
        </w:trP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الترتيب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النتيجة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Attach rate / activation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Complaint rate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Cost/MB, margin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الضوابط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الضابط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الفئة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البيان</w:t>
            </w:r>
          </w:p>
        </w:tc>
      </w:tr>
      <w:t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No bill shock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تجربة العملاء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No roaming proposition may create an unexpected charge without an in-journey consent (synthetic).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ميثاق التحول — ROAMING</dc:title>
  <dc:creator>Mobily Transformation Hub</dc:creator>
  <dc:description>ROAMING — International Roaming Transformation; snapshot 01a17033-0f46-7558-9a80-cf3aec3d603f</dc:description>
  <cp:lastModifiedBy>Un-named</cp:lastModifiedBy>
  <cp:revision>1</cp:revision>
  <dcterms:created xsi:type="dcterms:W3CDTF">2026-10-24T23:16:02.786Z</dcterms:created>
  <dcterms:modified xsi:type="dcterms:W3CDTF">2026-10-24T23:16:02.786Z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