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دراسات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دراسات الجدوى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01a17088-3cf5-74ad-b4a6-c5a758701162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دراسات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545"/>
        <w:gridCol w:w="1169"/>
        <w:gridCol w:w="1169"/>
        <w:gridCol w:w="545"/>
        <w:gridCol w:w="351"/>
        <w:gridCol w:w="1169"/>
        <w:gridCol w:w="1169"/>
        <w:gridCol w:w="1169"/>
        <w:gridCol w:w="545"/>
      </w:tblGrid>
      <w:tr>
        <w:trPr>
          <w:tblHeader/>
        </w:trPr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المستوى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اعتماد خط الأساس</w:t>
            </w:r>
          </w:p>
        </w:tc>
        <w:tc>
          <w:tcPr>
            <w:tcW w:type="dxa" w:w="3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الأقسام غير المكتملة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مالك المنفعة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مالك المبادرة</w:t>
            </w:r>
          </w:p>
        </w:tc>
        <w:tc>
          <w:tcPr>
            <w:tcW w:type="dxa" w:w="11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المعتمِد المالي</w:t>
            </w:r>
          </w:p>
        </w:tc>
        <w:tc>
          <w:tcPr>
            <w:tcW w:type="dxa" w:w="54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أقسام دراسة الجدوى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القسم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المحتوى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بنود الاستثمار والمنافع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412"/>
        <w:gridCol w:w="412"/>
        <w:gridCol w:w="412"/>
        <w:gridCol w:w="882"/>
        <w:gridCol w:w="471"/>
        <w:gridCol w:w="882"/>
        <w:gridCol w:w="471"/>
        <w:gridCol w:w="353"/>
        <w:gridCol w:w="353"/>
        <w:gridCol w:w="412"/>
        <w:gridCol w:w="882"/>
        <w:gridCol w:w="882"/>
        <w:gridCol w:w="412"/>
        <w:gridCol w:w="882"/>
      </w:tblGrid>
      <w:tr>
        <w:trPr>
          <w:tblHeader/>
        </w:trPr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نوع البند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أساس القيمة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المبلغ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47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الموظفون المكافئون بدوام كامل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بداية الفترة</w:t>
            </w:r>
          </w:p>
        </w:tc>
        <w:tc>
          <w:tcPr>
            <w:tcW w:type="dxa" w:w="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نهاية الفترة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التكرار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الصيغة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إصدار الصيغة</w:t>
            </w:r>
          </w:p>
        </w:tc>
        <w:tc>
          <w:tcPr>
            <w:tcW w:type="dxa" w:w="41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اعتماد الصيغة</w:t>
            </w:r>
          </w:p>
        </w:tc>
        <w:tc>
          <w:tcPr>
            <w:tcW w:type="dxa" w:w="882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المسؤول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الإجماليات (من إجماليات دراسة الجدوى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033"/>
        <w:gridCol w:w="1033"/>
        <w:gridCol w:w="2213"/>
        <w:gridCol w:w="1180"/>
        <w:gridCol w:w="664"/>
        <w:gridCol w:w="664"/>
      </w:tblGrid>
      <w:tr>
        <w:trPr>
          <w:tblHeader/>
        </w:trPr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دراسة الجدوى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المقياس</w:t>
            </w:r>
          </w:p>
        </w:tc>
        <w:tc>
          <w:tcPr>
            <w:tcW w:type="dxa" w:w="10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أساس القيمة</w:t>
            </w:r>
          </w:p>
        </w:tc>
        <w:tc>
          <w:tcPr>
            <w:tcW w:type="dxa" w:w="221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العملة</w:t>
            </w:r>
          </w:p>
        </w:tc>
        <w:tc>
          <w:tcPr>
            <w:tcW w:type="dxa" w:w="11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المبلغ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البنود</w:t>
            </w:r>
          </w:p>
        </w:tc>
        <w:tc>
          <w:tcPr>
            <w:tcW w:type="dxa" w:w="66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بنود بلا مبلغ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دراسات الجدوى — TR-0001</dc:title>
  <dc:creator>Mobily Transformation Hub</dc:creator>
  <dc:description>TR-0001 — Synthetic P2 transformation; snapshot 01a17088-3cf5-74ad-b4a6-c5a758701162</dc:description>
  <cp:lastModifiedBy>Un-named</cp:lastModifiedBy>
  <cp:revision>1</cp:revision>
  <dcterms:created xsi:type="dcterms:W3CDTF">2026-10-25T00:49:10.617Z</dcterms:created>
  <dcterms:modified xsi:type="dcterms:W3CDTF">2026-10-25T00:49:10.617Z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