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G4 — ROAMING G4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2026-10-22 09:58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01a16267-7cb9-7559-8938-8ba5f626524e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Mobilize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2026-06-08T07:00:00.000Z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Mobilization: initiative cards, ranking and selection, business cases, Finance validation, funding, roadmap, owners, capacity (synthetic demonstration). 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32156255eef7a01906ea624300c77f711dddce50922f81fa8542edb164a1fac7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2026-06-10T07:00:00.000Z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 The portfolio is executable and value-backed: INI-01, INI-02 and INI-03 are ranked, selected and funded, each with a Finance-validated initiative business case, owners, approved milestones and committed capacity within the plan; Finance validated the transformation case baseline and the three formulas. Proceed to Transform. (Synthetic decision of 2026-06-10.)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Initiative cards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Initiative cards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بطاقات المبادرات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Business cases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Business cases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دراسات الجدوى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Finance validation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Finance validation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التحقق المالي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Prioritization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Prioritization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تحديد الأولويات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Roadmap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Roadmap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خريطة الطريق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Owners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Owners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المالكون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Funding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Funding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التمويل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8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Capacity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Capacity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الطاقة الاستيعابية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diagnostic pack, May 2026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Diagnostic item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01a16267-7cb9-7559-8938-8ba5f626524e</dc:description>
  <cp:lastModifiedBy>Un-named</cp:lastModifiedBy>
  <cp:revision>1</cp:revision>
  <dcterms:created xsi:type="dcterms:W3CDTF">2026-10-22T06:58:55.100Z</dcterms:created>
  <dcterms:modified xsi:type="dcterms:W3CDTF">2026-10-22T06:58:55.100Z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