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18:17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01a16e7c-baa6-7589-9385-283616a0eae8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has value leakage from low adoption, fragmented propositions, inconsistent digital activation and avoidable CX friction.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Outcomes: Revenue growth; higher attach/activation; improved partner economics; fewer complaints; higher digital self-service. Initiatives: Pass architecture redesign; digital activation; proactive travel triggers; partner-cost optimization; QoS monitoring; care simplification; analytics.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Domestic tariffs and non-roaming propositions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أشهر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Monthly executive review; bi-weekly transformation review; weekly workstreams; monthly value review with Finance.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Per the T11 decision rights matrix of this transformation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Benefits: Incremental roaming revenue, margin improvement, complaint reduction, digital adoption, avoided care cost.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the roaming pass architecture, the digital activation journey and the partner model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attach and activation, complaint rate and partner economics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incremental roaming revenue, avoided care cost and margin improvement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low activation, high complaints and partner cost pressure are the diagnosed causes of roaming value leakage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 w:val="false"/>
          <w:lang w:val="ar-SA" w:bidi="ar-SA"/>
        </w:rPr>
        <w:t xml:space="preserve">Make international roaming effortless, trusted and economically accretive.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ينطبق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Attach rate / activation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Complaint rate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Cost/MB, margin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  <w:t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 bill shock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تجربة العملاء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 roaming proposition may create an unexpected charge without an in-journey consent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ROAMING</dc:title>
  <dc:creator>Mobily Transformation Hub</dc:creator>
  <dc:description>ROAMING — International Roaming Transformation; snapshot 01a16e7c-baa6-7589-9385-283616a0eae8</dc:description>
  <cp:lastModifiedBy>Un-named</cp:lastModifiedBy>
  <cp:revision>1</cp:revision>
  <dcterms:created xsi:type="dcterms:W3CDTF">2026-10-24T15:17:16.902Z</dcterms:created>
  <dcterms:modified xsi:type="dcterms:W3CDTF">2026-10-24T15:17:16.902Z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