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30"/>
          <w:szCs w:val="30"/>
          <w:rtl w:val="false"/>
          <w:lang w:val="ar-SA" w:bidi="ar-SA"/>
        </w:rPr>
        <w:t xml:space="preserve">Mobily Transformation Hub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مثال توضيحي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 w:val="false"/>
          <w:lang w:val="ar-SA" w:bidi="ar-SA"/>
        </w:rPr>
        <w:t xml:space="preserve"> — </w:t>
      </w:r>
      <w:r>
        <w:rPr>
          <w:rFonts w:ascii="IBM Plex Sans Arabic" w:cs="IBM Plex Sans Arabic" w:hAnsi="IBM Plex Sans Arabic"/>
          <w:b/>
          <w:bCs/>
          <w:color w:val="7A4B00"/>
          <w:sz w:val="20"/>
          <w:szCs w:val="20"/>
          <w:rtl/>
          <w:lang w:val="ar-SA" w:bidi="ar-SA"/>
        </w:rPr>
        <w:t xml:space="preserve">اصطناعي</w:t>
      </w: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6"/>
          <w:szCs w:val="26"/>
          <w:rtl/>
          <w:lang w:val="ar-SA" w:bidi="ar-SA"/>
        </w:rPr>
        <w:t xml:space="preserve">حزمة 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المنتج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Mobily Transformation Hub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المخرَج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حزمة البوابة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التحول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 — International Roaming Transformation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الموضوع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G4 — ROAMING G4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الفترة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حتى تاريخ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2026-10-19 02:26 (Asia/Riyadh)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معرّف اللقطة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01a15156-5981-7733-af12-64414cfd6bfa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الإصدار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مسودة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—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ليس تقريراً صادراً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إصدار المنهجية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playbook v1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اعتماد المصادر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البوابة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rPr>
          <w:tblHeader/>
        </w:trP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البند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8"/>
                <w:szCs w:val="18"/>
                <w:rtl/>
                <w:lang w:val="ar-SA" w:bidi="ar-SA"/>
              </w:rPr>
              <w:t xml:space="preserve">القيمة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البوابة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G4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المرحلة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التعبئة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البوابة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حالة الاعتماد (مسجّلة، وليست اعتماداً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دور المعتمِد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الراعي التنفيذي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رقم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قُدِّم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2026-06-08T07:00:00.000Z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قدَّمه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roaming.user.tl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ملاحظة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Mobilization: initiative cards, ranking and selection, business cases, Finance validation, funding, roadmap, owners, capacity (synthetic demonstration). 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تاريخ الاستحقاق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 SHA-256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للقطة التقديم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32156255eef7a01906ea624300c77f711dddce50922f81fa8542edb164a1fac7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القرار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معتمد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تقرَّر في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2026-06-10T07:00:00.000Z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قرَّره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roaming.user.sp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المسوِّغ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Synthetic demonstration - approves nothing real / </w:t>
            </w: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عرض توضيحي اصطناعي - لا يعتمد أي شيء حقيقي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 The portfolio is executable and value-backed: INI-01, INI-02 and INI-03 are ranked, selected and funded, each with a Finance-validated initiative business case, owners, approved milestones and committed capacity within the plan; Finance validated the transformation case baseline and the three formulas. Proceed to Transform. (Synthetic decision of 2026-06-10.)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المعايير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3"/>
        <w:gridCol w:w="581"/>
        <w:gridCol w:w="1244"/>
        <w:gridCol w:w="1244"/>
        <w:gridCol w:w="581"/>
        <w:gridCol w:w="581"/>
        <w:gridCol w:w="581"/>
        <w:gridCol w:w="373"/>
        <w:gridCol w:w="1244"/>
        <w:gridCol w:w="373"/>
        <w:gridCol w:w="581"/>
        <w:gridCol w:w="1244"/>
      </w:tblGrid>
      <w:tr>
        <w:trPr>
          <w:tblHeader/>
        </w:trP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الرقم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(بالإنجليزية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المعيار (بالعربية</w:t>
            </w: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 w:val="false"/>
                <w:lang w:val="ar-SA" w:bidi="ar-SA"/>
              </w:rPr>
              <w:t xml:space="preserve">)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الدليل المتحقَّق منه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الحالة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البنود الناقصة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الناقص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بنود الأدلة غير المتحقَّق منها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توصية المراجعة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4"/>
                <w:szCs w:val="14"/>
                <w:rtl/>
                <w:lang w:val="ar-SA" w:bidi="ar-SA"/>
              </w:rPr>
              <w:t xml:space="preserve">ملاحظة المراجعة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1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Initiative cards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بطاقات المبادرات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2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Business cases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دراسات الجدوى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3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Finance validation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التحقق المالي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4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Prioritization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تحديد الأولويات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5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Roadmap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خريطة الطريق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6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Owners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المالكون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7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Funding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التمويل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  <w:tr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8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Capacity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الطاقة الاستيعابية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إلزامي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يلزم دليل 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مكتمل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37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 w:val="false"/>
                <w:lang w:val="ar-SA" w:bidi="ar-SA"/>
              </w:rPr>
              <w:t xml:space="preserve">0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581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244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4"/>
                <w:szCs w:val="14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3"/>
          <w:szCs w:val="23"/>
          <w:rtl/>
          <w:lang w:val="ar-SA" w:bidi="ar-SA"/>
        </w:rPr>
        <w:t xml:space="preserve">الأدلة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08"/>
        <w:gridCol w:w="1008"/>
        <w:gridCol w:w="1008"/>
        <w:gridCol w:w="1008"/>
        <w:gridCol w:w="648"/>
        <w:gridCol w:w="2160"/>
      </w:tblGrid>
      <w:tr>
        <w:trPr>
          <w:tblHeader/>
        </w:trP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البوابة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النوع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يدعم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عند التقديم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حالة المراجعة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مراجعة المحتوى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  <w:shd w:fill="EEF1F5" w:color="auto" w:val="clear"/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/>
                <w:lang w:val="ar-SA" w:bidi="ar-SA"/>
              </w:rPr>
              <w:t xml:space="preserve">بصمة</w:t>
            </w:r>
            <w:r>
              <w:rPr>
                <w:rFonts w:ascii="IBM Plex Sans Arabic" w:cs="IBM Plex Sans Arabic" w:hAnsi="IBM Plex Sans Arabic"/>
                <w:b/>
                <w:bCs/>
                <w:sz w:val="16"/>
                <w:szCs w:val="16"/>
                <w:rtl w:val="false"/>
                <w:lang w:val="ar-SA" w:bidi="ar-SA"/>
              </w:rPr>
              <w:t xml:space="preserve"> SHA-256</w:t>
            </w:r>
          </w:p>
        </w:tc>
      </w:tr>
      <w:tr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 w:val="false"/>
                <w:lang w:val="ar-SA" w:bidi="ar-SA"/>
              </w:rPr>
              <w:t xml:space="preserve">Roaming diagnostic pack, May 2026 (synthetic)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ملاحظة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بند تشخيص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 عند التقديم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100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متحقَّق منه</w:t>
            </w:r>
          </w:p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48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2160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6"/>
                <w:szCs w:val="16"/>
                <w:rtl/>
                <w:lang w:val="ar-SA" w:bidi="ar-SA"/>
              </w:rPr>
              <w:t xml:space="preserve">لا ينطبق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تسميات التحقق</w:t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7"/>
        <w:gridCol w:w="6353"/>
      </w:tblGrid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متحقَّق منه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متحقَّق منها من الجهة المالكة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مؤقت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مؤقتة: بانتظار التحقق أو الاعتماد؛ تُعرض وتُحتسب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غير معروف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تتوفر قيمة؛ تبقى الخلية فارغة ولا تُعرض صفراً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قديم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غير محدَّثة؛ لا يُعرض رقم حالي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لا ينطبق</w:t>
            </w: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القيمة لا تنطبق على هذا السجل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  <w:tr>
        <w:tc>
          <w:tcPr>
            <w:tcW w:type="dxa" w:w="2647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</w:p>
        </w:tc>
        <w:tc>
          <w:tcPr>
            <w:tcW w:type="dxa" w:w="6353"/>
            <w:tcBorders>
              <w:top w:val="single" w:color="C9CED8" w:sz="4"/>
              <w:left w:val="single" w:color="C9CED8" w:sz="4"/>
              <w:bottom w:val="single" w:color="C9CED8" w:sz="4"/>
              <w:right w:val="single" w:color="C9CED8" w:sz="4"/>
            </w:tcBorders>
          </w:tcPr>
          <w:p>
            <w:pPr>
              <w:bidi/>
              <w:spacing w:after="0"/>
              <w:jc w:val="start"/>
            </w:pPr>
            <w:r>
              <w:rPr>
                <w:rFonts w:ascii="IBM Plex Sans Arabic" w:cs="IBM Plex Sans Arabic" w:hAnsi="IBM Plex Sans Arabic"/>
                <w:sz w:val="18"/>
                <w:szCs w:val="18"/>
                <w:rtl/>
                <w:lang w:val="ar-SA" w:bidi="ar-SA"/>
              </w:rPr>
              <w:t xml:space="preserve">الإجماليات المكتوبة كصيغ يحسبها الجدول من الصفوف أعلاه؛ النص لا يصبح صيغة أبداً</w:t>
            </w:r>
            <w:r>
              <w:rPr>
                <w:rFonts w:ascii="IBM Plex Sans Arabic" w:cs="IBM Plex Sans Arabic" w:hAnsi="IBM Plex Sans Arabic"/>
                <w:sz w:val="18"/>
                <w:szCs w:val="18"/>
                <w:rtl w:val="false"/>
                <w:lang w:val="ar-SA" w:bidi="ar-SA"/>
              </w:rPr>
              <w:t xml:space="preserve">.</w:t>
            </w:r>
          </w:p>
        </w:tc>
      </w:tr>
    </w:tbl>
    <w:p>
      <w:pPr>
        <w:bidi/>
      </w:pPr>
    </w:p>
    <w:p>
      <w:pPr>
        <w:bidi/>
        <w:spacing w:after="120"/>
        <w:jc w:val="start"/>
      </w:pPr>
      <w:r>
        <w:rPr>
          <w:rFonts w:ascii="IBM Plex Sans Arabic" w:cs="IBM Plex Sans Arabic" w:hAnsi="IBM Plex Sans Arabic"/>
          <w:b/>
          <w:bCs/>
          <w:sz w:val="22"/>
          <w:szCs w:val="22"/>
          <w:rtl/>
          <w:lang w:val="ar-SA" w:bidi="ar-SA"/>
        </w:rPr>
        <w:t xml:space="preserve">حول هذا الملف</w:t>
      </w:r>
    </w:p>
    <w:p>
      <w:pPr>
        <w:bidi/>
        <w:spacing w:after="60"/>
        <w:jc w:val="start"/>
      </w:pPr>
      <w:r>
        <w:rPr>
          <w:rFonts w:ascii="IBM Plex Sans Arabic" w:cs="IBM Plex Sans Arabic" w:hAnsi="IBM Plex Sans Arabic"/>
          <w:rtl/>
          <w:lang w:val="ar-SA" w:bidi="ar-SA"/>
        </w:rPr>
        <w:t xml:space="preserve">الخطوط: يسمّي هذا الملف خطَّي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IBM Plex Sans Arabic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و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IBM Plex Sans (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رخصة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 SIL Open Font License 1.1) </w:t>
      </w:r>
      <w:r>
        <w:rPr>
          <w:rFonts w:ascii="IBM Plex Sans Arabic" w:cs="IBM Plex Sans Arabic" w:hAnsi="IBM Plex Sans Arabic"/>
          <w:rtl/>
          <w:lang w:val="ar-SA" w:bidi="ar-SA"/>
        </w:rPr>
        <w:t xml:space="preserve">دون تضمينهما؛ يعرض البرنامج الذي لا يتوفر فيه الخطّان خطاً بديلاً</w:t>
      </w:r>
      <w:r>
        <w:rPr>
          <w:rFonts w:ascii="IBM Plex Sans Arabic" w:cs="IBM Plex Sans Arabic" w:hAnsi="IBM Plex Sans Arabic"/>
          <w:rtl w:val="false"/>
          <w:lang w:val="ar-SA" w:bidi="ar-SA"/>
        </w:rPr>
        <w:t xml:space="preserve">.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توليفة عملية مستوحاة من سلسلة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 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للتحول المؤسسي وبوصلة برايتلاين للتحول وإدارة تحقيق المنافع من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 PMI</w:t>
    </w:r>
    <w:r>
      <w:rPr>
        <w:rFonts w:ascii="IBM Plex Sans Arabic" w:cs="IBM Plex Sans Arabic" w:hAnsi="IBM Plex Sans Arabic"/>
        <w:color w:val="5A6275"/>
        <w:sz w:val="12"/>
        <w:szCs w:val="12"/>
        <w:rtl/>
        <w:lang w:val="ar-SA" w:bidi="ar-SA"/>
      </w:rPr>
      <w:t xml:space="preserve">؛ ومُوسَّعة بمجموعة أدوات مخصصة لنموذج التشغيل المستهدف</w:t>
    </w:r>
    <w:r>
      <w:rPr>
        <w:rFonts w:ascii="IBM Plex Sans Arabic" w:cs="IBM Plex Sans Arabic" w:hAnsi="IBM Plex Sans Arabic"/>
        <w:color w:val="5A6275"/>
        <w:sz w:val="12"/>
        <w:szCs w:val="12"/>
        <w:rtl w:val="false"/>
        <w:lang w:val="ar-SA" w:bidi="ar-SA"/>
      </w:rPr>
      <w:t xml:space="preserve">.</w:t>
    </w:r>
  </w:p>
  <w:p>
    <w:pPr>
      <w:bidi/>
      <w:spacing w:after="0"/>
      <w:jc w:val="start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مسودة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ليس تقريراً صادراً</w:t>
    </w:r>
  </w:p>
  <w:p>
    <w:pPr>
      <w:bidi/>
      <w:jc w:val="end"/>
    </w:pP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الصفحة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rFonts w:ascii="IBM Plex Sans Arabic" w:cs="IBM Plex Sans Arabic" w:hAnsi="IBM Plex Sans Arabic"/>
        <w:color w:val="5A6275"/>
        <w:sz w:val="14"/>
        <w:szCs w:val="14"/>
        <w:rtl/>
        <w:lang w:val="ar-SA" w:bidi="ar-SA"/>
      </w:rPr>
      <w:t xml:space="preserve">من</w:t>
    </w:r>
    <w:r>
      <w:rPr>
        <w:rFonts w:ascii="IBM Plex Sans Arabic" w:cs="IBM Plex Sans Arabic" w:hAnsi="IBM Plex Sans Arabic"/>
        <w:color w:val="5A6275"/>
        <w:sz w:val="14"/>
        <w:szCs w:val="14"/>
        <w:rtl w:val="false"/>
        <w:lang w:val="ar-SA" w:bidi="ar-SA"/>
      </w:rPr>
      <w:t xml:space="preserve"> </w:t>
    </w:r>
    <w:r>
      <w:rPr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0"/>
      <w:jc w:val="start"/>
    </w:pP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مثال توضيحي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 w:val="false"/>
        <w:lang w:val="ar-SA" w:bidi="ar-SA"/>
      </w:rPr>
      <w:t xml:space="preserve"> — </w:t>
    </w:r>
    <w:r>
      <w:rPr>
        <w:rFonts w:ascii="IBM Plex Sans Arabic" w:cs="IBM Plex Sans Arabic" w:hAnsi="IBM Plex Sans Arabic"/>
        <w:b/>
        <w:bCs/>
        <w:color w:val="7A4B00"/>
        <w:sz w:val="16"/>
        <w:szCs w:val="16"/>
        <w:rtl/>
        <w:lang w:val="ar-SA" w:bidi="ar-SA"/>
      </w:rPr>
      <w:t xml:space="preserve">اصطناعي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BM Plex Sans Arabic" w:cs="IBM Plex Sans Arabic" w:hAnsi="IBM Plex Sans Arabic"/>
        <w:sz w:val="19"/>
        <w:szCs w:val="19"/>
        <w:lang w:val="ar-SA" w:bidi="ar-SA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حزمة البوابة — ROAMING</dc:title>
  <dc:creator>Mobily Transformation Hub</dc:creator>
  <dc:description>ROAMING — International Roaming Transformation; snapshot 01a15156-5981-7733-af12-64414cfd6bfa</dc:description>
  <cp:lastModifiedBy>Un-named</cp:lastModifiedBy>
  <cp:revision>1</cp:revision>
  <dcterms:created xsi:type="dcterms:W3CDTF">2026-10-18T23:26:42.010Z</dcterms:created>
  <dcterms:modified xsi:type="dcterms:W3CDTF">2026-10-18T23:26:42.010Z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