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sz w:val="36"/>
          <w:szCs w:val="36"/>
        </w:rPr>
        <w:t xml:space="preserve">지중해 붉은바다거북 위성추적 데이터</w:t>
      </w:r>
    </w:p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실제 분석 결과 보고서</w:t>
      </w:r>
    </w:p>
    <w:p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Western-Mediterranean Loggerhead (Caretta caretta) Tracking — Spatial &amp; Environmental Analysis</w:t>
      </w:r>
    </w:p>
    <w:p>
      <w:pPr>
        <w:spacing w:after="50" w:before="800"/>
        <w:jc w:val="center"/>
      </w:pPr>
      <w:r>
        <w:rPr>
          <w:color w:val="555555"/>
          <w:sz w:val="20"/>
          <w:szCs w:val="20"/>
        </w:rPr>
        <w:t xml:space="preserve">분석일: 2026년 6월 25일</w:t>
      </w:r>
    </w:p>
    <w:p>
      <w:pPr>
        <w:jc w:val="center"/>
      </w:pPr>
      <w:r>
        <w:rPr>
          <w:color w:val="555555"/>
          <w:sz w:val="20"/>
          <w:szCs w:val="20"/>
        </w:rPr>
        <w:t xml:space="preserve">데이터: OBIS dataset e69a5cc7 · 원시 24,125 위치 · 44 개체 · 2016–2018</w:t>
      </w:r>
    </w:p>
    <w:p>
      <w:r>
        <w:br w:type="page"/>
      </w:r>
    </w:p>
    <w:p>
      <w:pPr>
        <w:spacing w:after="160"/>
      </w:pPr>
      <w:r>
        <w:rPr>
          <w:b/>
          <w:bCs/>
          <w:sz w:val="28"/>
          <w:szCs w:val="28"/>
        </w:rPr>
        <w:t xml:space="preserve">목   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핵심 요약 (Executive Summary)</w:t>
      </w:r>
    </w:p>
    <w:p>
      <w:pPr>
        <w:spacing w:after="150" w:line="312"/>
      </w:pPr>
      <w:r>
        <w:t xml:space="preserve">제안서에서 인용한 바로 그 데이터셋(OBIS, 지중해 서부 붉은바다거북 위성추적, 원시 24,125개 위치·44개체)을 직접 내려받아 품질 필터링과 공간·환경 분석을 수행하였다. 그 결과는 제안서의 핵심 주장—개체들이 다수 국가의 관할 해역을 횡단하며, 특정 수온대를 강하게 선호하고, 소수의 해역에 이용이 집중된다—을 실제 데이터로 뒷받침한다.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품질 위치 13,522개(원시의 56.2%), 분석 개체 43마리.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개체들은 총 10개국의 EEZ(관할권 근사)를 이용했다: Algeria, France, Greece, Italy, Libya, Malta, Morocco, Spain, Tunisia, Turkey.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개체당 횡단 국가 수는 중앙값 3개국, 최대 8개국 — 한 개체가 다국가 관할을 일상적으로 넘나든다.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전체 위치의 97.8%가 수온 18–26℃ 범위(중앙값 19.7℃)에 분포 — 강한 수온 선호.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지중해는 반폐쇄해로 거의 전역이 어느 국가의 200해리 이내였다(공해 이용 0%). 즉 보전 과제는 공해(ABNJ)가 아니라 국가 간 EEZ 공조이다.</w:t>
      </w:r>
    </w:p>
    <w:p>
      <w:pPr>
        <w:pStyle w:val="Heading1"/>
      </w:pPr>
      <w:r>
        <w:t xml:space="preserve">2. 데이터와 방법</w:t>
      </w:r>
    </w:p>
    <w:p>
      <w:pPr>
        <w:spacing w:after="150" w:line="312"/>
      </w:pPr>
      <w:r>
        <w:rPr>
          <w:b/>
          <w:bCs/>
        </w:rPr>
        <w:t xml:space="preserve">데이터 출처: </w:t>
      </w:r>
      <w:r>
        <w:t xml:space="preserve">OBIS REST API (api.obis.org) — “Satellite-tracking of loggerhead sea turtles tracked from western Mediterranean”, dataset id e69a5cc7-2c7d-4ef7-8662-a68a326bddad. 전체 24,125개 위치 레코드를 페이징으로 수집했다. occurrenceID에서 개체명·태그종류·Argos 위치등급을 파싱하고, OBIS가 부가한 표층수온(SST)·수심·해안거리를 함께 활용했다.</w:t>
      </w:r>
    </w:p>
    <w:p>
      <w:pPr>
        <w:spacing w:after="150" w:line="312"/>
      </w:pPr>
      <w:r>
        <w:t xml:space="preserve">처리 절차는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Argos 위치등급 Z(무효) 제거.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육상으로 떨어진 위치 제거(Natural Earth 국가 폴리곤과 교차 판정).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개체별 시간순 속도 필터: 직전 유효점 대비 이동속도가 10 km/h를 초과하는 비현실적 점프 제거.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관할권 근사(EEZ proxy): 각 위치에서 최근접 국가까지 측지거리를 계산해 200해리(370.4 km) 이내면 해당국 EEZ로, 초과하면 공해(ABNJ)로 분류.</w:t>
      </w:r>
    </w:p>
    <w:p>
      <w:pPr>
        <w:spacing w:after="100" w:before="140"/>
      </w:pPr>
      <w:r>
        <w:rPr>
          <w:b/>
          <w:bCs/>
          <w:sz w:val="20"/>
          <w:szCs w:val="20"/>
        </w:rPr>
        <w:t xml:space="preserve">[표 1] 품질 필터링 단계별 잔존 위치 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660"/>
        <w:gridCol w:w="26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잔존 위치 수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원시 다운로드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24,081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OBIS 전체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Argos Z 제거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18,061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-6,020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육상 위치 제거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17,409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-652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속도 필터(&gt;10km/h)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13,522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최종 56.2% 유지</w:t>
            </w:r>
          </w:p>
        </w:tc>
      </w:tr>
    </w:tbl>
    <w:p>
      <w:pPr>
        <w:pStyle w:val="Heading1"/>
      </w:pPr>
      <w:r>
        <w:t xml:space="preserve">3. 결과</w:t>
      </w:r>
    </w:p>
    <w:p>
      <w:pPr>
        <w:pStyle w:val="Heading2"/>
      </w:pPr>
      <w:r>
        <w:t xml:space="preserve">3.1 이동 경로와 공간 분포</w:t>
      </w:r>
    </w:p>
    <w:p>
      <w:pPr>
        <w:spacing w:after="150" w:line="312"/>
      </w:pPr>
      <w:r>
        <w:t xml:space="preserve">분석 개체 </w:t>
      </w:r>
      <w:r>
        <w:rPr>
          <w:b/>
          <w:bCs/>
        </w:rPr>
        <w:t xml:space="preserve">43마리</w:t>
      </w:r>
      <w:r>
        <w:t xml:space="preserve">는 발레아레스해와 알보란해를 중심으로 서·중부 지중해 전역을 이용했다. 개체별 이동 경로 길이는 중앙값 2,826.5 km, 최대 16,658 km에 달했다(추적 기간 대부분 9–11개월). 이는 산란·정착지와 먼 먹이터를 오가는 광역 회유를 보여준다.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305175"/>
            <wp:effectExtent t="0" r="0" b="0" l="0"/>
            <wp:docPr id="1" name="fig_tracks.png" descr="그림 1. 품질 필터링된 붉은바다거북 이동 경로 (개체별 색상)" title="그림 1. 품질 필터링된 붉은바다거북 이동 경로 (개체별 색상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1. 품질 필터링된 붉은바다거북 이동 경로 (개체별 색상)</w:t>
      </w:r>
    </w:p>
    <w:p>
      <w:pPr>
        <w:pStyle w:val="Heading2"/>
      </w:pPr>
      <w:r>
        <w:t xml:space="preserve">3.2 핵심 서식지 핫스팟</w:t>
      </w:r>
    </w:p>
    <w:p>
      <w:pPr>
        <w:spacing w:after="150" w:line="312"/>
      </w:pPr>
      <w:r>
        <w:t xml:space="preserve">0.25° 격자 밀도 분석 결과, 이용이 스페인 남동안·발레아레스해·알제리 분지의 소수 격자에 강하게 집중되었다. 최밀집 격자(위도 </w:t>
      </w:r>
      <w:r>
        <w:rPr>
          <w:b/>
          <w:bCs/>
        </w:rPr>
        <w:t xml:space="preserve">37.5°, 경도 -0.75°</w:t>
      </w:r>
      <w:r>
        <w:t xml:space="preserve">)에는 95개 위치가 11개 개체로부터 기록되었다. 이런 다개체 공유 격자는 보호구역 후보지의 1차 선정 대상이 된다.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305175"/>
            <wp:effectExtent t="0" r="0" b="0" l="0"/>
            <wp:docPr id="1" name="fig_hotspots.png" descr="그림 2. 0.25° 격자 이용 밀도(로그 스케일)와 최밀집 격자(청색 원)" title="그림 2. 0.25° 격자 이용 밀도(로그 스케일)와 최밀집 격자(청색 원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2. 0.25° 격자 이용 밀도(로그 스케일)와 최밀집 격자(청색 원)</w:t>
      </w:r>
    </w:p>
    <w:p>
      <w:pPr>
        <w:pStyle w:val="Heading2"/>
      </w:pPr>
      <w:r>
        <w:t xml:space="preserve">3.3 국가 관할권 횡단과 국제 협력 필요성</w:t>
      </w:r>
    </w:p>
    <w:p>
      <w:pPr>
        <w:spacing w:after="150" w:line="312"/>
      </w:pPr>
      <w:r>
        <w:t xml:space="preserve">개체들은 총 10개국의 관할 해역을 이용했으며(스페인·알제리·이탈리아·튀니지·리비아·그리스·몰타·모로코·프랑스·터키), 위치 수 기준으로 스페인(6,290)과 알제리(2,804)에 집중되었다. 중요한 점은 </w:t>
      </w:r>
      <w:r>
        <w:rPr>
          <w:b/>
          <w:bCs/>
        </w:rPr>
        <w:t xml:space="preserve">단일 개체도 다수 국가를 넘나든다</w:t>
      </w:r>
      <w:r>
        <w:t xml:space="preserve">는 것이다 — 개체당 횡단 국가 수 중앙값 3개국, 최대 8개국. 예컨대 ‘Torrevieja’ 한 마리는 터키를 포함한 8개국 EEZ를 통과했다. 이는 단일 국가 보전 노력만으로는 한 개체조차 온전히 보호할 수 없음을 직접 보여준다.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fig_eez.png" descr="그림 3. 국가 관할권별 위치 수 (EEZ 근사, 최근접국 ≤200해리)" title="그림 3. 국가 관할권별 위치 수 (EEZ 근사, 최근접국 ≤200해리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3. 국가 관할권별 위치 수 (EEZ 근사, 최근접국 ≤200해리)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fig_countries.png" descr="그림 4. 개체별 횡단 국가 수 분포" title="그림 4. 개체별 횡단 국가 수 분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4. 개체별 횡단 국가 수 분포</w:t>
      </w:r>
    </w:p>
    <w:p>
      <w:pPr>
        <w:spacing w:after="100" w:before="120"/>
      </w:pPr>
      <w:r>
        <w:rPr>
          <w:b/>
          <w:bCs/>
          <w:sz w:val="20"/>
          <w:szCs w:val="20"/>
        </w:rPr>
        <w:t xml:space="preserve">[표 2] 이동 경로가 긴 상위 6개체와 횡단 국가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300"/>
        <w:gridCol w:w="900"/>
        <w:gridCol w:w="48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개체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추적일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경로(km)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국가수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이용 국가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Gandia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290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16,658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Algeria, Greece, Italy, Libya, Malta, Spain, Tunisia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Torrevieja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339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15,858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Algeria, Greece, Italy, Libya, Malta, Spain, Tunisia, Turkey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Denia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272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14,522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Algeria, Italy, Spain, Tunisia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Vinaros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269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12,516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Algeria, Italy, Spain, Tunisia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SantaPola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279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11,827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Algeria, Italy, Libya, Malta, Spain, Tunisia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Borriana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277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11,734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Algeria, Greece, Italy, Libya, Malta, Spain, Tunisia</w:t>
            </w:r>
          </w:p>
        </w:tc>
      </w:tr>
    </w:tbl>
    <w:p>
      <w:pPr>
        <w:pStyle w:val="Heading2"/>
      </w:pPr>
      <w:r>
        <w:t xml:space="preserve">3.4 환경 선호 — 표층수온(SST)</w:t>
      </w:r>
    </w:p>
    <w:p>
      <w:pPr>
        <w:spacing w:after="150" w:line="312"/>
      </w:pPr>
      <w:r>
        <w:t xml:space="preserve">위치별 표층수온은 18–22℃에 강하게 몰려 있었고, 전체의 </w:t>
      </w:r>
      <w:r>
        <w:rPr>
          <w:b/>
          <w:bCs/>
        </w:rPr>
        <w:t xml:space="preserve">97.8%가 18–26℃</w:t>
      </w:r>
      <w:r>
        <w:t xml:space="preserve">대역(중앙값 19.7℃)에 분포했다. 이는 제안서가 제시한 거북의 수온 선호 범위와 일치하며, 기후변화로 등온선이 북상할 경우 핵심 서식지와 핫스팟도 함께 이동할 수 있음을 시사한다(적응형 경계 조정의 근거).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fig_sst.png" descr="그림 5. 위치별 표층수온 분포와 18–26℃ 선호 대역" title="그림 5. 위치별 표층수온 분포와 18–26℃ 선호 대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5. 위치별 표층수온 분포와 18–26℃ 선호 대역</w:t>
      </w:r>
    </w:p>
    <w:p>
      <w:pPr>
        <w:pStyle w:val="Heading1"/>
      </w:pPr>
      <w:r>
        <w:t xml:space="preserve">4. 제안서와의 연결 및 정책 함의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제안서 3.1(서식지·이동 경로): 광역 회유와 소수 격자 집중을 데이터로 확인 → 핫스팟 격자를 보호구역 후보지 선정의 정량 근거로 사용 가능.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제안서 3.2/5(국제 이동·협력): 10개국 EEZ 횡단, 개체당 최대 8개국 → 네트워크형 MPA와 국가 간 협약의 필요성을 단일 데이터셋으로 입증.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제안서 3.3(환경 요인): 18–26℃ 선호 정량화 → 기후 시나리오 기반 서식지 이동 예측 및 적응형 관리의 출발점.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정정/보강: 지중해 표본에서는 공해 이용이 사실상 0%였다. 공해(ABNJ)·BBNJ 논점은 인도양 Chagos 녹색바다거북 같은 외양 사례에 해당하며, 지중해 사례의 핵심은 ‘EEZ 간 공조’로 프레이밍하는 것이 정확하다.</w:t>
      </w:r>
    </w:p>
    <w:p>
      <w:pPr>
        <w:pStyle w:val="Heading1"/>
      </w:pPr>
      <w:r>
        <w:t xml:space="preserve">5. 한계와 재현 방법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EEZ는 실제 해양경계 폴리곤이 아니라 ‘최근접 국가 ≤200해리’ 근사를 사용했다. 정밀 분석에는 Marine Regions의 공식 EEZ 경계 적용을 권장한다.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Argos 추적은 위치 오차가 크므로 Z 제거·속도 필터를 적용했으나(최종 56% 유지), 상태공간모형(state-space model) 기반 경로 보정으로 정교화할 수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SST는 OBIS 부가 환경값을 사용했으며, 계절·연도 편향이 있을 수 있다.</w:t>
      </w:r>
    </w:p>
    <w:p>
      <w:pPr>
        <w:spacing w:after="150" w:line="312"/>
      </w:pPr>
      <w:r>
        <w:rPr>
          <w:b/>
          <w:bCs/>
        </w:rPr>
        <w:t xml:space="preserve">재현: </w:t>
      </w:r>
      <w:r>
        <w:t xml:space="preserve">download_obis.py(수집) → analyze.py(필터·관할권·통계) → plots.py(그림). 모든 중간 산출물(loggerhead_filtered.csv, per_individual.csv, hotspots.csv, findings.json)이 함께 저장되어 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지중해 붉은바다거북 추적 데이터 분석 결과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Malgun Gothic" w:cs="Malgun Gothic" w:eastAsia="Malgun Gothic" w:hAnsi="Malgun Gothic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Malgun Gothic" w:cs="Malgun Gothic" w:eastAsia="Malgun Gothic" w:hAnsi="Malgun Gothic"/>
      <w:b/>
      <w:bCs/>
      <w:color w:val="2E6B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32eaf02cab71d1c0d83a80766c93dbd6849416.png"/><Relationship Id="rId10" Type="http://schemas.openxmlformats.org/officeDocument/2006/relationships/image" Target="media/c669276eb04bbabd3c9dda482eaf3d0d973529f2.png"/><Relationship Id="rId11" Type="http://schemas.openxmlformats.org/officeDocument/2006/relationships/image" Target="media/ae8aa4d4fe1269b2e7af63d7be681e5c7ec7a0e2.png"/><Relationship Id="rId12" Type="http://schemas.openxmlformats.org/officeDocument/2006/relationships/image" Target="media/d96ed5488e1adf0db1f377116ccae6af5e15a60a.png"/><Relationship Id="rId13" Type="http://schemas.openxmlformats.org/officeDocument/2006/relationships/image" Target="media/1b8fa625ed27994bf4e46dc6418b7274aa171c0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2026-06-26T05:53:38.409Z</dcterms:created>
  <dcterms:modified xsi:type="dcterms:W3CDTF">2026-06-26T05:53:38.410Z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