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sz w:val="40"/>
          <w:szCs w:val="40"/>
        </w:rPr>
        <w:t xml:space="preserve">해양동물 이동 데이터 기반</w:t>
      </w:r>
    </w:p>
    <w:p>
      <w:pPr>
        <w:spacing w:after="360"/>
        <w:jc w:val="center"/>
      </w:pPr>
      <w:r>
        <w:rPr>
          <w:b/>
          <w:bCs/>
          <w:sz w:val="40"/>
          <w:szCs w:val="40"/>
        </w:rPr>
        <w:t xml:space="preserve">보호구역 설정 및 국제 협력 제안서</w:t>
      </w:r>
    </w:p>
    <w:p>
      <w:pPr>
        <w:spacing w:after="80"/>
        <w:jc w:val="center"/>
      </w:pPr>
      <w:r>
        <w:rPr>
          <w:i/>
          <w:iCs/>
          <w:color w:val="555555"/>
          <w:sz w:val="22"/>
          <w:szCs w:val="22"/>
        </w:rPr>
        <w:t xml:space="preserve">Marine Animal Tracking Data for Protected-Area Designation and International Cooperation</w:t>
      </w:r>
    </w:p>
    <w:p>
      <w:pPr>
        <w:spacing w:after="80" w:before="1200"/>
        <w:jc w:val="center"/>
      </w:pPr>
      <w:r>
        <w:rPr>
          <w:color w:val="555555"/>
          <w:sz w:val="22"/>
          <w:szCs w:val="22"/>
        </w:rPr>
        <w:t xml:space="preserve">작성일: 2026년 6월 25일</w:t>
      </w:r>
    </w:p>
    <w:p>
      <w:pPr>
        <w:jc w:val="center"/>
      </w:pPr>
      <w:r>
        <w:rPr>
          <w:color w:val="555555"/>
          <w:sz w:val="22"/>
          <w:szCs w:val="22"/>
        </w:rPr>
        <w:t xml:space="preserve">데이터 출처: Movebank · OBIS / OBIS-SEAMAP · Dryad</w:t>
      </w:r>
    </w:p>
    <w:p>
      <w:r>
        <w:br w:type="page"/>
      </w:r>
    </w:p>
    <w:p>
      <w:pPr>
        <w:spacing w:after="200"/>
      </w:pPr>
      <w:r>
        <w:rPr>
          <w:b/>
          <w:bCs/>
          <w:sz w:val="30"/>
          <w:szCs w:val="30"/>
        </w:rPr>
        <w:t xml:space="preserve">목   차</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개요</w:t>
      </w:r>
    </w:p>
    <w:p>
      <w:pPr>
        <w:spacing w:after="160" w:line="312"/>
      </w:pPr>
      <w:r>
        <w:t xml:space="preserve">위성·GPS·위치추적 기술의 발전으로 해양동물의 이동 경로와 서식지 이용에 관한 고해상도 자료가 크게 증가하였다. 2025년 기준 Movebank는 약 9,600개 연구에서 약 9.3억 개의 위치 데이터를 보유하고 있으며, 이는 30만 개체와 1,600여 종의 동물 이동을 포괄한다는 점에서 추적 자료의 규모를 보여준다. 이러한 자료를 OBIS, Dryad 등의 공개 저장소를 통해 활용하면, 과학적 근거에 기반한 보호구역 설정과 국가 간 협력의 필요성을 도출할 수 있다.</w:t>
      </w:r>
    </w:p>
    <w:p>
      <w:pPr>
        <w:pStyle w:val="Heading1"/>
      </w:pPr>
      <w:r>
        <w:t xml:space="preserve">2. 데이터 출처와 규모</w:t>
      </w:r>
    </w:p>
    <w:p>
      <w:pPr>
        <w:pStyle w:val="Heading2"/>
      </w:pPr>
      <w:r>
        <w:t xml:space="preserve">2.1 Movebank</w:t>
      </w:r>
    </w:p>
    <w:p>
      <w:pPr>
        <w:pStyle w:val="ListParagraph"/>
        <w:numPr>
          <w:ilvl w:val="0"/>
          <w:numId w:val="2"/>
        </w:numPr>
        <w:spacing w:after="80" w:line="300"/>
      </w:pPr>
      <w:r>
        <w:t xml:space="preserve">데이터 규모: 2025년 Movebank 뉴스레터는 9.3억 개의 위치 기록과 9,600개 연구, 30만 개체, 1,600여 종을 호스트한다고 보고하였다. 이는 해양포유류, 어류, 바닷새, 파충류 등 다양한 분류군을 포함한다.</w:t>
      </w:r>
    </w:p>
    <w:p>
      <w:pPr>
        <w:pStyle w:val="ListParagraph"/>
        <w:numPr>
          <w:ilvl w:val="0"/>
          <w:numId w:val="2"/>
        </w:numPr>
        <w:spacing w:after="80" w:line="300"/>
      </w:pPr>
      <w:r>
        <w:t xml:space="preserve">특징: 연구자가 소유한 데이터를 중앙에서 관리·공유하는 플랫폼으로, 데이터 품질과 메타데이터 표준이 일정하다.</w:t>
      </w:r>
    </w:p>
    <w:p>
      <w:pPr>
        <w:pStyle w:val="Heading2"/>
      </w:pPr>
      <w:r>
        <w:t xml:space="preserve">2.2 OBIS 및 OBIS-SEAMAP</w:t>
      </w:r>
    </w:p>
    <w:p>
      <w:pPr>
        <w:pStyle w:val="ListParagraph"/>
        <w:numPr>
          <w:ilvl w:val="0"/>
          <w:numId w:val="2"/>
        </w:numPr>
        <w:spacing w:after="80" w:line="300"/>
      </w:pPr>
      <w:r>
        <w:t xml:space="preserve">붉은바다거북 위성추적 데이터: 지중해 서부에서 2016–2018년 추적한 44마리 붉은바다거북 데이터셋은 24,125개의 위치와 216,398개의 측정값을 포함한다. Argos 위치등급을 기준으로 고품질 위치만 제공하며, CC0 라이선스로 공개되어 자유롭게 활용할 수 있다.</w:t>
      </w:r>
    </w:p>
    <w:p>
      <w:pPr>
        <w:pStyle w:val="ListParagraph"/>
        <w:numPr>
          <w:ilvl w:val="0"/>
          <w:numId w:val="2"/>
        </w:numPr>
        <w:spacing w:after="80" w:line="300"/>
      </w:pPr>
      <w:r>
        <w:t xml:space="preserve">기타 해양포유류 데이터: OBIS-SEAMAP에는 북대서양참돌고래, 향고래, 바다표범 등 다양한 종의 위치자료가 수록되어 있다. 대부분의 데이터는 GPS·위성태그 기반으로 시간과 좌표를 포함한다.</w:t>
      </w:r>
    </w:p>
    <w:p>
      <w:pPr>
        <w:pStyle w:val="Heading2"/>
      </w:pPr>
      <w:r>
        <w:t xml:space="preserve">2.3 Dryad</w:t>
      </w:r>
    </w:p>
    <w:p>
      <w:pPr>
        <w:pStyle w:val="ListParagraph"/>
        <w:numPr>
          <w:ilvl w:val="0"/>
          <w:numId w:val="2"/>
        </w:numPr>
        <w:spacing w:after="80" w:line="300"/>
      </w:pPr>
      <w:r>
        <w:t xml:space="preserve">녹색바다거북 다년 추적 데이터: 2012–2024년 Chagos 군도에서 58마리 녹색바다거북을 Fastloc-GPS, Argos, Iridium 태그로 추적한 데이터는 각 개체의 날짜·시간·위도·경도와 위치 품질 정보를 제공한다. 연구자는 연도에 따른 이동 목적지의 차이가 커서 다년 추적이 중요하다고 보고하였다.</w:t>
      </w:r>
    </w:p>
    <w:p>
      <w:pPr>
        <w:pStyle w:val="ListParagraph"/>
        <w:numPr>
          <w:ilvl w:val="0"/>
          <w:numId w:val="2"/>
        </w:numPr>
        <w:spacing w:after="80" w:line="300"/>
      </w:pPr>
      <w:r>
        <w:t xml:space="preserve">기타 데이터: Dryad에는 다년간의 대서양 loggerhead·leatherback 거북, 바다표범, 펭귄 등의 위치 자료도 공개되어 있다.</w:t>
      </w:r>
    </w:p>
    <w:p>
      <w:pPr>
        <w:pStyle w:val="Heading2"/>
      </w:pPr>
      <w:r>
        <w:t xml:space="preserve">2.4 기타 자료</w:t>
      </w:r>
    </w:p>
    <w:p>
      <w:pPr>
        <w:pStyle w:val="ListParagraph"/>
        <w:numPr>
          <w:ilvl w:val="0"/>
          <w:numId w:val="2"/>
        </w:numPr>
        <w:spacing w:after="80" w:line="300"/>
      </w:pPr>
      <w:r>
        <w:t xml:space="preserve">PSAT 태그 데이터: OCEARCH는 2025년 캐나다 Mahone Bay에서 백상아리에게 부착한 PSAT 태그를 2026년 회수하여 270일 동안 5초 간격으로 깊이·수온·빛 수준을 기록한 데이터가 있다고 보고했다. 이는 종의 3차원 이동과 환경 이용을 분석할 수 있는 귀중한 자료이다.</w:t>
      </w:r>
    </w:p>
    <w:p>
      <w:pPr>
        <w:spacing w:after="120" w:before="160"/>
      </w:pPr>
      <w:r>
        <w:rPr>
          <w:b/>
          <w:bCs/>
          <w:sz w:val="22"/>
          <w:szCs w:val="22"/>
        </w:rPr>
        <w:t xml:space="preserve">[표 1] 주요 데이터 출처 요약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3360"/>
        <w:gridCol w:w="1800"/>
      </w:tblGrid>
      <w:tr>
        <w:trPr>
          <w:tblHeader/>
        </w:trPr>
        <w:tc>
          <w:tcPr>
            <w:tcW w:type="dxa" w:w="19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rPr>
              <w:t xml:space="preserve">출처</w:t>
            </w:r>
          </w:p>
        </w:tc>
        <w:tc>
          <w:tcPr>
            <w:tcW w:type="dxa" w:w="23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rPr>
              <w:t xml:space="preserve">대표 데이터</w:t>
            </w:r>
          </w:p>
        </w:tc>
        <w:tc>
          <w:tcPr>
            <w:tcW w:type="dxa" w:w="336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rPr>
              <w:t xml:space="preserve">규모 / 특징</w:t>
            </w:r>
          </w:p>
        </w:tc>
        <w:tc>
          <w:tcPr>
            <w:tcW w:type="dxa" w:w="18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rPr>
              <w:t xml:space="preserve">라이선스·접근</w:t>
            </w:r>
          </w:p>
        </w:tc>
      </w:tr>
      <w:tr>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Movebank</w:t>
            </w:r>
          </w:p>
        </w:tc>
        <w:tc>
          <w:tcPr>
            <w:tcW w:type="dxa" w:w="2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다분류군 이동 추적</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9.3억 위치 · 9,600 연구 · 30만 개체 · 1,600여 종</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연구자 관리·공유</w:t>
            </w:r>
          </w:p>
        </w:tc>
      </w:tr>
      <w:tr>
        <w:tc>
          <w:tcPr>
            <w:tcW w:type="dxa" w:w="1900"/>
            <w:tcBorders>
              <w:top w:val="single" w:color="BBBBBB" w:sz="1"/>
              <w:left w:val="single" w:color="BBBBBB" w:sz="1"/>
              <w:bottom w:val="single" w:color="BBBBBB" w:sz="1"/>
              <w:right w:val="single" w:color="BBBBBB" w:sz="1"/>
            </w:tcBorders>
            <w:shd w:fill="EEF3F5" w:val="clear"/>
            <w:tcMar>
              <w:top w:type="dxa" w:w="80"/>
              <w:left w:type="dxa" w:w="120"/>
              <w:bottom w:type="dxa" w:w="80"/>
              <w:right w:type="dxa" w:w="120"/>
            </w:tcMar>
          </w:tcPr>
          <w:p>
            <w:r>
              <w:t xml:space="preserve">OBIS / OBIS-SEAMAP</w:t>
            </w:r>
          </w:p>
        </w:tc>
        <w:tc>
          <w:tcPr>
            <w:tcW w:type="dxa" w:w="2300"/>
            <w:tcBorders>
              <w:top w:val="single" w:color="BBBBBB" w:sz="1"/>
              <w:left w:val="single" w:color="BBBBBB" w:sz="1"/>
              <w:bottom w:val="single" w:color="BBBBBB" w:sz="1"/>
              <w:right w:val="single" w:color="BBBBBB" w:sz="1"/>
            </w:tcBorders>
            <w:shd w:fill="EEF3F5" w:val="clear"/>
            <w:tcMar>
              <w:top w:type="dxa" w:w="80"/>
              <w:left w:type="dxa" w:w="120"/>
              <w:bottom w:type="dxa" w:w="80"/>
              <w:right w:type="dxa" w:w="120"/>
            </w:tcMar>
          </w:tcPr>
          <w:p>
            <w:r>
              <w:t xml:space="preserve">붉은바다거북, 해양포유류</w:t>
            </w:r>
          </w:p>
        </w:tc>
        <w:tc>
          <w:tcPr>
            <w:tcW w:type="dxa" w:w="3360"/>
            <w:tcBorders>
              <w:top w:val="single" w:color="BBBBBB" w:sz="1"/>
              <w:left w:val="single" w:color="BBBBBB" w:sz="1"/>
              <w:bottom w:val="single" w:color="BBBBBB" w:sz="1"/>
              <w:right w:val="single" w:color="BBBBBB" w:sz="1"/>
            </w:tcBorders>
            <w:shd w:fill="EEF3F5" w:val="clear"/>
            <w:tcMar>
              <w:top w:type="dxa" w:w="80"/>
              <w:left w:type="dxa" w:w="120"/>
              <w:bottom w:type="dxa" w:w="80"/>
              <w:right w:type="dxa" w:w="120"/>
            </w:tcMar>
          </w:tcPr>
          <w:p>
            <w:r>
              <w:t xml:space="preserve">거북 44개체 · 24,125 위치 (Argos 고품질)</w:t>
            </w:r>
          </w:p>
        </w:tc>
        <w:tc>
          <w:tcPr>
            <w:tcW w:type="dxa" w:w="1800"/>
            <w:tcBorders>
              <w:top w:val="single" w:color="BBBBBB" w:sz="1"/>
              <w:left w:val="single" w:color="BBBBBB" w:sz="1"/>
              <w:bottom w:val="single" w:color="BBBBBB" w:sz="1"/>
              <w:right w:val="single" w:color="BBBBBB" w:sz="1"/>
            </w:tcBorders>
            <w:shd w:fill="EEF3F5" w:val="clear"/>
            <w:tcMar>
              <w:top w:type="dxa" w:w="80"/>
              <w:left w:type="dxa" w:w="120"/>
              <w:bottom w:type="dxa" w:w="80"/>
              <w:right w:type="dxa" w:w="120"/>
            </w:tcMar>
          </w:tcPr>
          <w:p>
            <w:r>
              <w:t xml:space="preserve">CC0 등 공개</w:t>
            </w:r>
          </w:p>
        </w:tc>
      </w:tr>
      <w:tr>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Dryad</w:t>
            </w:r>
          </w:p>
        </w:tc>
        <w:tc>
          <w:tcPr>
            <w:tcW w:type="dxa" w:w="2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녹색바다거북 다년 추적</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58개체 · 2012–2024 (Fastloc-GPS/Argos/Iridium)</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공개 저장소</w:t>
            </w:r>
          </w:p>
        </w:tc>
      </w:tr>
      <w:tr>
        <w:tc>
          <w:tcPr>
            <w:tcW w:type="dxa" w:w="1900"/>
            <w:tcBorders>
              <w:top w:val="single" w:color="BBBBBB" w:sz="1"/>
              <w:left w:val="single" w:color="BBBBBB" w:sz="1"/>
              <w:bottom w:val="single" w:color="BBBBBB" w:sz="1"/>
              <w:right w:val="single" w:color="BBBBBB" w:sz="1"/>
            </w:tcBorders>
            <w:shd w:fill="EEF3F5" w:val="clear"/>
            <w:tcMar>
              <w:top w:type="dxa" w:w="80"/>
              <w:left w:type="dxa" w:w="120"/>
              <w:bottom w:type="dxa" w:w="80"/>
              <w:right w:type="dxa" w:w="120"/>
            </w:tcMar>
          </w:tcPr>
          <w:p>
            <w:r>
              <w:t xml:space="preserve">OCEARCH (PSAT)</w:t>
            </w:r>
          </w:p>
        </w:tc>
        <w:tc>
          <w:tcPr>
            <w:tcW w:type="dxa" w:w="2300"/>
            <w:tcBorders>
              <w:top w:val="single" w:color="BBBBBB" w:sz="1"/>
              <w:left w:val="single" w:color="BBBBBB" w:sz="1"/>
              <w:bottom w:val="single" w:color="BBBBBB" w:sz="1"/>
              <w:right w:val="single" w:color="BBBBBB" w:sz="1"/>
            </w:tcBorders>
            <w:shd w:fill="EEF3F5" w:val="clear"/>
            <w:tcMar>
              <w:top w:type="dxa" w:w="80"/>
              <w:left w:type="dxa" w:w="120"/>
              <w:bottom w:type="dxa" w:w="80"/>
              <w:right w:type="dxa" w:w="120"/>
            </w:tcMar>
          </w:tcPr>
          <w:p>
            <w:r>
              <w:t xml:space="preserve">백상아리 3차원 이동</w:t>
            </w:r>
          </w:p>
        </w:tc>
        <w:tc>
          <w:tcPr>
            <w:tcW w:type="dxa" w:w="3360"/>
            <w:tcBorders>
              <w:top w:val="single" w:color="BBBBBB" w:sz="1"/>
              <w:left w:val="single" w:color="BBBBBB" w:sz="1"/>
              <w:bottom w:val="single" w:color="BBBBBB" w:sz="1"/>
              <w:right w:val="single" w:color="BBBBBB" w:sz="1"/>
            </w:tcBorders>
            <w:shd w:fill="EEF3F5" w:val="clear"/>
            <w:tcMar>
              <w:top w:type="dxa" w:w="80"/>
              <w:left w:type="dxa" w:w="120"/>
              <w:bottom w:type="dxa" w:w="80"/>
              <w:right w:type="dxa" w:w="120"/>
            </w:tcMar>
          </w:tcPr>
          <w:p>
            <w:r>
              <w:t xml:space="preserve">270일 · 5초 간격 깊이·수온·광량</w:t>
            </w:r>
          </w:p>
        </w:tc>
        <w:tc>
          <w:tcPr>
            <w:tcW w:type="dxa" w:w="1800"/>
            <w:tcBorders>
              <w:top w:val="single" w:color="BBBBBB" w:sz="1"/>
              <w:left w:val="single" w:color="BBBBBB" w:sz="1"/>
              <w:bottom w:val="single" w:color="BBBBBB" w:sz="1"/>
              <w:right w:val="single" w:color="BBBBBB" w:sz="1"/>
            </w:tcBorders>
            <w:shd w:fill="EEF3F5" w:val="clear"/>
            <w:tcMar>
              <w:top w:type="dxa" w:w="80"/>
              <w:left w:type="dxa" w:w="120"/>
              <w:bottom w:type="dxa" w:w="80"/>
              <w:right w:type="dxa" w:w="120"/>
            </w:tcMar>
          </w:tcPr>
          <w:p>
            <w:r>
              <w:t xml:space="preserve">기관 보고</w:t>
            </w:r>
          </w:p>
        </w:tc>
      </w:tr>
    </w:tbl>
    <w:p>
      <w:pPr>
        <w:pStyle w:val="Heading1"/>
      </w:pPr>
      <w:r>
        <w:t xml:space="preserve">3. 주요 분석 결과</w:t>
      </w:r>
    </w:p>
    <w:p>
      <w:pPr>
        <w:pStyle w:val="Heading2"/>
      </w:pPr>
      <w:r>
        <w:t xml:space="preserve">3.1 서식지 및 이동 경로 파악</w:t>
      </w:r>
    </w:p>
    <w:p>
      <w:pPr>
        <w:spacing w:after="160" w:line="312"/>
      </w:pPr>
      <w:r>
        <w:t xml:space="preserve">고해상도 위치데이터를 통해 번식지와 먹이터 사이의 이동 경로, 정착지, 이탈 시기가 명확히 파악된다. 예를 들어 OBIS의 붉은바다거북 데이터는 지중해 서부의 산란 이후 개체들이 짧은 기간 안에 대서양 방향으로 이동하는 경향을 보여 주며, 주요 경유지는 발렌시아 해안과 북서아프리카 연안이다. Chagos 군도의 녹색바다거북 데이터를 분석한 연구에서는 한 해의 추적 데이터만으로는 먹이터 국가가 1개국으로 보이지만, 12년간 데이터를 합치면 7개국으로 늘어난다고 보고했다. 이는 개체들이 해마다 다른 지역을 이용한다는 사실을 나타내며, 단기 자료만으로 보호구역을 설정하면 중요한 서식지를 놓칠 수 있음을 시사한다.</w:t>
      </w:r>
    </w:p>
    <w:p>
      <w:pPr>
        <w:pStyle w:val="Heading2"/>
      </w:pPr>
      <w:r>
        <w:t xml:space="preserve">3.2 국제적 이동 및 해양보호구역의 겹침</w:t>
      </w:r>
    </w:p>
    <w:p>
      <w:pPr>
        <w:spacing w:after="160" w:line="312"/>
      </w:pPr>
      <w:r>
        <w:t xml:space="preserve">바다거북과 상어는 여러 국가의 배타적경제수역(EEZ)을 넘나들며, 때로는 공해(ABNJ)를 이용한다. 녹색바다거북 연구에서는 전체 추적 개체의 약 9%가 공해인 Saya de Malha Bank에서 먹이를 찾았으며, 그 수가 수천 마리의 성체에 해당할 것으로 추정된다. 이는 국가 관할권 밖 서식지 보호와 국제 협력이 필요함을 보여준다. 붉은바다거북 데이터에서도 스페인, 모로코, 알제리 등 여러 국가 해역을 연속적으로 이동하는 패턴이 관찰된다.</w:t>
      </w:r>
    </w:p>
    <w:p>
      <w:pPr>
        <w:pStyle w:val="Heading2"/>
      </w:pPr>
      <w:r>
        <w:t xml:space="preserve">3.3 종별 서식지 선택과 환경 요인</w:t>
      </w:r>
    </w:p>
    <w:p>
      <w:pPr>
        <w:spacing w:after="160" w:line="312"/>
      </w:pPr>
      <w:r>
        <w:t xml:space="preserve">PSAT와 Fastloc-GPS 데이터는 수온, 엽록소, 해류 등 환경요인과 이동 경로를 연계 분석할 수 있게 한다. 백상아리의 PSAT 데이터는 하루 동안 100m 이상의 수직 이동을 반복하며 특정 수온층에 머무르는 경향을 보여준다. 거북 데이터는 수온이 18–26℃인 영역을 선호함을 드러내며, 기후변화로 인한 해역 수온 변화가 서식지 이용에 미칠 영향을 예측할 수 있다.</w:t>
      </w:r>
    </w:p>
    <w:p>
      <w:pPr>
        <w:pStyle w:val="Heading1"/>
      </w:pPr>
      <w:r>
        <w:t xml:space="preserve">4. 정책 제안</w:t>
      </w:r>
    </w:p>
    <w:p>
      <w:pPr>
        <w:pStyle w:val="Heading3"/>
      </w:pPr>
      <w:r>
        <w:t xml:space="preserve">4.1 다년·다개체 추적 자료 기반 보호구역 후보지 선정</w:t>
      </w:r>
    </w:p>
    <w:p>
      <w:pPr>
        <w:pStyle w:val="ListParagraph"/>
        <w:numPr>
          <w:ilvl w:val="0"/>
          <w:numId w:val="2"/>
        </w:numPr>
        <w:spacing w:after="80" w:line="300"/>
      </w:pPr>
      <w:r>
        <w:t xml:space="preserve">단일 연도의 데이터로는 특정 해역의 중요성이 과소평가될 수 있으므로, Movebank·OBIS·Dryad의 다년 추적 자료를 통합하여 주요 산란지, 먹이터, 이동통로를 공간적으로 식별한다.</w:t>
      </w:r>
    </w:p>
    <w:p>
      <w:pPr>
        <w:pStyle w:val="ListParagraph"/>
        <w:numPr>
          <w:ilvl w:val="0"/>
          <w:numId w:val="2"/>
        </w:numPr>
        <w:spacing w:after="80" w:line="300"/>
      </w:pPr>
      <w:r>
        <w:t xml:space="preserve">식별된 핵심 서식지를 중심으로 기존 해양보호구역(MPA)을 확대하거나, 동적 보호구역(dMPA) 제도를 도입하여 동물의 실시간 이동에 따라 보호 범위를 조정한다.</w:t>
      </w:r>
    </w:p>
    <w:p>
      <w:pPr>
        <w:pStyle w:val="Heading3"/>
      </w:pPr>
      <w:r>
        <w:t xml:space="preserve">4.2 국경을 넘는 보호와 관리</w:t>
      </w:r>
    </w:p>
    <w:p>
      <w:pPr>
        <w:pStyle w:val="ListParagraph"/>
        <w:numPr>
          <w:ilvl w:val="0"/>
          <w:numId w:val="2"/>
        </w:numPr>
        <w:spacing w:after="80" w:line="300"/>
      </w:pPr>
      <w:r>
        <w:t xml:space="preserve">바다거북과 상어가 여러 국가 EEZ를 오가므로, 영해 간 연결통로를 관리하는 국제적인 협약이 필요하다. 예를 들어 지중해 국가들은 공동으로 붉은바다거북 이동경로를 보호하는 네트워크형 MPA를 설계할 수 있다.</w:t>
      </w:r>
    </w:p>
    <w:p>
      <w:pPr>
        <w:pStyle w:val="ListParagraph"/>
        <w:numPr>
          <w:ilvl w:val="0"/>
          <w:numId w:val="2"/>
        </w:numPr>
        <w:spacing w:after="80" w:line="300"/>
      </w:pPr>
      <w:r>
        <w:t xml:space="preserve">공해상 서식지에 대해서는 지역수산관리기구(RFMO) 또는 국제해사기구(IMO)와 협력하여 어업 규제와 선박 감속 구역을 설정한다.</w:t>
      </w:r>
    </w:p>
    <w:p>
      <w:pPr>
        <w:pStyle w:val="Heading3"/>
      </w:pPr>
      <w:r>
        <w:t xml:space="preserve">4.3 데이터 공유 및 표준화</w:t>
      </w:r>
    </w:p>
    <w:p>
      <w:pPr>
        <w:pStyle w:val="ListParagraph"/>
        <w:numPr>
          <w:ilvl w:val="0"/>
          <w:numId w:val="2"/>
        </w:numPr>
        <w:spacing w:after="80" w:line="300"/>
      </w:pPr>
      <w:r>
        <w:t xml:space="preserve">Movebank, OBIS, Dryad 등 여러 플랫폼에 분산된 데이터를 통합 메타데이터 표준으로 연동하는 것이 중요하다. 연구자와 관리기관이 라이선스 문제없이 데이터를 교환할 수 있도록 법적 틀을 마련해야 한다.</w:t>
      </w:r>
    </w:p>
    <w:p>
      <w:pPr>
        <w:pStyle w:val="ListParagraph"/>
        <w:numPr>
          <w:ilvl w:val="0"/>
          <w:numId w:val="2"/>
        </w:numPr>
        <w:spacing w:after="80" w:line="300"/>
      </w:pPr>
      <w:r>
        <w:t xml:space="preserve">각국 정부와 연구기관은 추적 데이터를 실시간 또는 주기적으로 업로드하여 관리자가 서식지 변화를 빠르게 파악할 수 있도록 지원해야 한다.</w:t>
      </w:r>
    </w:p>
    <w:p>
      <w:pPr>
        <w:pStyle w:val="Heading3"/>
      </w:pPr>
      <w:r>
        <w:t xml:space="preserve">4.4 지속적인 모니터링과 적응형 관리</w:t>
      </w:r>
    </w:p>
    <w:p>
      <w:pPr>
        <w:pStyle w:val="ListParagraph"/>
        <w:numPr>
          <w:ilvl w:val="0"/>
          <w:numId w:val="2"/>
        </w:numPr>
        <w:spacing w:after="80" w:line="300"/>
      </w:pPr>
      <w:r>
        <w:t xml:space="preserve">보호구역 설정 이후에도 추적 연구를 지속하여 동물의 이동 패턴 변화와 보호효과를 평가해야 한다. 기후변화나 인간 활동 변화에 따라 서식지가 이동하는 경우, 보호구역 경계를 조정할 수 있도록 적응형 관리 계획을 도입한다.</w:t>
      </w:r>
    </w:p>
    <w:p>
      <w:pPr>
        <w:pStyle w:val="Heading1"/>
      </w:pPr>
      <w:r>
        <w:t xml:space="preserve">5. 국제 협력의 필요성</w:t>
      </w:r>
    </w:p>
    <w:p>
      <w:pPr>
        <w:pStyle w:val="ListParagraph"/>
        <w:numPr>
          <w:ilvl w:val="0"/>
          <w:numId w:val="2"/>
        </w:numPr>
        <w:spacing w:after="80" w:line="300"/>
      </w:pPr>
      <w:r>
        <w:t xml:space="preserve">다수 국가의 참여: 녹색바다거북 추적 결과에서 먹이터가 세이셸, 코모로, 마다가스카르, 케냐, 탄자니아 등 여러 국가에 걸쳐 있었고, 일부 개체는 공해를 이용했다. 이는 단일 국가의 노력만으로는 개체 보호가 어렵다는 점을 강조한다.</w:t>
      </w:r>
    </w:p>
    <w:p>
      <w:pPr>
        <w:pStyle w:val="ListParagraph"/>
        <w:numPr>
          <w:ilvl w:val="0"/>
          <w:numId w:val="2"/>
        </w:numPr>
        <w:spacing w:after="80" w:line="300"/>
      </w:pPr>
      <w:r>
        <w:t xml:space="preserve">자료 공유와 공동 연구: 이동 경로 분석은 여러 연구팀의 데이터를 종합해야 정확도가 높아진다. Movebank와 같은 플랫폼에 연구 데이터를 업로드하고, 국제 워킹그룹을 구성해 분석 및 정책 논의를 공동으로 수행할 것을 제안한다.</w:t>
      </w:r>
    </w:p>
    <w:p>
      <w:pPr>
        <w:pStyle w:val="ListParagraph"/>
        <w:numPr>
          <w:ilvl w:val="0"/>
          <w:numId w:val="2"/>
        </w:numPr>
        <w:spacing w:after="80" w:line="300"/>
      </w:pPr>
      <w:r>
        <w:t xml:space="preserve">법적·재정적 지원: 국제협력에는 통합된 관리 계획과 함께 안정적인 재원과 법적 기반이 필요하다. UNEP 지역 해양협약 또는 국제자연보전연맹(IUCN) 등을 통해 기금과 조율 메커니즘을 마련할 수 있다.</w:t>
      </w:r>
    </w:p>
    <w:p>
      <w:pPr>
        <w:pStyle w:val="Heading1"/>
      </w:pPr>
      <w:r>
        <w:t xml:space="preserve">6. 실행 방안</w:t>
      </w:r>
    </w:p>
    <w:p>
      <w:pPr>
        <w:pStyle w:val="ListParagraph"/>
        <w:numPr>
          <w:ilvl w:val="0"/>
          <w:numId w:val="3"/>
        </w:numPr>
        <w:spacing w:after="100" w:line="300"/>
      </w:pPr>
      <w:r>
        <w:t xml:space="preserve">데이터 통합 태스크포스 구성: 각국 연구자와 정부기관, NGO가 참여하는 태스크포스를 구성해 Movebank·OBIS·Dryad의 데이터를 표준화하고 통합 플랫폼을 구축한다.</w:t>
      </w:r>
    </w:p>
    <w:p>
      <w:pPr>
        <w:pStyle w:val="ListParagraph"/>
        <w:numPr>
          <w:ilvl w:val="0"/>
          <w:numId w:val="3"/>
        </w:numPr>
        <w:spacing w:after="100" w:line="300"/>
      </w:pPr>
      <w:r>
        <w:t xml:space="preserve">핵심 서식지 식별 프로젝트 착수: 통합 데이터로 GIS 분석을 수행해 핵심 서식지와 이동통로를 도출하고, 국가별 보고서를 작성한다.</w:t>
      </w:r>
    </w:p>
    <w:p>
      <w:pPr>
        <w:pStyle w:val="ListParagraph"/>
        <w:numPr>
          <w:ilvl w:val="0"/>
          <w:numId w:val="3"/>
        </w:numPr>
        <w:spacing w:after="100" w:line="300"/>
      </w:pPr>
      <w:r>
        <w:t xml:space="preserve">정책·보호구역 설계 워크숍 개최: 식별된 서식지를 토대로 관계국 관리기관과 보전단체가 공동으로 보호구역 설계 및 관리 방안을 논의한다.</w:t>
      </w:r>
    </w:p>
    <w:p>
      <w:pPr>
        <w:pStyle w:val="ListParagraph"/>
        <w:numPr>
          <w:ilvl w:val="0"/>
          <w:numId w:val="3"/>
        </w:numPr>
        <w:spacing w:after="100" w:line="300"/>
      </w:pPr>
      <w:r>
        <w:t xml:space="preserve">국제협약 체결 및 이행 모니터링: 핵심 서식지가 걸쳐 있는 국가 간에 보호 협약을 체결하고 이행 상황을 공동 모니터링한다. 공해 구역에 대해서는 UN 해양생물다양성협정(BBNJ) 등 국제 법틀을 활용한다.</w:t>
      </w:r>
    </w:p>
    <w:p>
      <w:pPr>
        <w:spacing w:after="120" w:before="200"/>
      </w:pPr>
      <w:r>
        <w:rPr>
          <w:b/>
          <w:bCs/>
          <w:sz w:val="22"/>
          <w:szCs w:val="22"/>
        </w:rPr>
        <w:t xml:space="preserve">[표 2] 단계별 실행 로드맵(예시)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060"/>
        <w:gridCol w:w="1800"/>
        <w:gridCol w:w="2200"/>
      </w:tblGrid>
      <w:tr>
        <w:trPr>
          <w:tblHeader/>
        </w:trPr>
        <w:tc>
          <w:tcPr>
            <w:tcW w:type="dxa" w:w="13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rPr>
              <w:t xml:space="preserve">단계</w:t>
            </w:r>
          </w:p>
        </w:tc>
        <w:tc>
          <w:tcPr>
            <w:tcW w:type="dxa" w:w="406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rPr>
              <w:t xml:space="preserve">주요 활동</w:t>
            </w:r>
          </w:p>
        </w:tc>
        <w:tc>
          <w:tcPr>
            <w:tcW w:type="dxa" w:w="18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rPr>
              <w:t xml:space="preserve">기간(예시)</w:t>
            </w:r>
          </w:p>
        </w:tc>
        <w:tc>
          <w:tcPr>
            <w:tcW w:type="dxa" w:w="22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rPr>
              <w:t xml:space="preserve">핵심 주체</w:t>
            </w:r>
          </w:p>
        </w:tc>
      </w:tr>
      <w:tr>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1단계</w:t>
            </w:r>
          </w:p>
        </w:tc>
        <w:tc>
          <w:tcPr>
            <w:tcW w:type="dxa" w:w="4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데이터 통합 태스크포스 구성·표준화</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0–6개월</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연구기관·정부·NGO</w:t>
            </w:r>
          </w:p>
        </w:tc>
      </w:tr>
      <w:tr>
        <w:tc>
          <w:tcPr>
            <w:tcW w:type="dxa" w:w="1300"/>
            <w:tcBorders>
              <w:top w:val="single" w:color="BBBBBB" w:sz="1"/>
              <w:left w:val="single" w:color="BBBBBB" w:sz="1"/>
              <w:bottom w:val="single" w:color="BBBBBB" w:sz="1"/>
              <w:right w:val="single" w:color="BBBBBB" w:sz="1"/>
            </w:tcBorders>
            <w:shd w:fill="EEF3F5" w:val="clear"/>
            <w:tcMar>
              <w:top w:type="dxa" w:w="80"/>
              <w:left w:type="dxa" w:w="120"/>
              <w:bottom w:type="dxa" w:w="80"/>
              <w:right w:type="dxa" w:w="120"/>
            </w:tcMar>
          </w:tcPr>
          <w:p>
            <w:r>
              <w:t xml:space="preserve">2단계</w:t>
            </w:r>
          </w:p>
        </w:tc>
        <w:tc>
          <w:tcPr>
            <w:tcW w:type="dxa" w:w="4060"/>
            <w:tcBorders>
              <w:top w:val="single" w:color="BBBBBB" w:sz="1"/>
              <w:left w:val="single" w:color="BBBBBB" w:sz="1"/>
              <w:bottom w:val="single" w:color="BBBBBB" w:sz="1"/>
              <w:right w:val="single" w:color="BBBBBB" w:sz="1"/>
            </w:tcBorders>
            <w:shd w:fill="EEF3F5" w:val="clear"/>
            <w:tcMar>
              <w:top w:type="dxa" w:w="80"/>
              <w:left w:type="dxa" w:w="120"/>
              <w:bottom w:type="dxa" w:w="80"/>
              <w:right w:type="dxa" w:w="120"/>
            </w:tcMar>
          </w:tcPr>
          <w:p>
            <w:r>
              <w:t xml:space="preserve">GIS 기반 핵심 서식지 식별·국가별 보고</w:t>
            </w:r>
          </w:p>
        </w:tc>
        <w:tc>
          <w:tcPr>
            <w:tcW w:type="dxa" w:w="1800"/>
            <w:tcBorders>
              <w:top w:val="single" w:color="BBBBBB" w:sz="1"/>
              <w:left w:val="single" w:color="BBBBBB" w:sz="1"/>
              <w:bottom w:val="single" w:color="BBBBBB" w:sz="1"/>
              <w:right w:val="single" w:color="BBBBBB" w:sz="1"/>
            </w:tcBorders>
            <w:shd w:fill="EEF3F5" w:val="clear"/>
            <w:tcMar>
              <w:top w:type="dxa" w:w="80"/>
              <w:left w:type="dxa" w:w="120"/>
              <w:bottom w:type="dxa" w:w="80"/>
              <w:right w:type="dxa" w:w="120"/>
            </w:tcMar>
          </w:tcPr>
          <w:p>
            <w:r>
              <w:t xml:space="preserve">6–18개월</w:t>
            </w:r>
          </w:p>
        </w:tc>
        <w:tc>
          <w:tcPr>
            <w:tcW w:type="dxa" w:w="2200"/>
            <w:tcBorders>
              <w:top w:val="single" w:color="BBBBBB" w:sz="1"/>
              <w:left w:val="single" w:color="BBBBBB" w:sz="1"/>
              <w:bottom w:val="single" w:color="BBBBBB" w:sz="1"/>
              <w:right w:val="single" w:color="BBBBBB" w:sz="1"/>
            </w:tcBorders>
            <w:shd w:fill="EEF3F5" w:val="clear"/>
            <w:tcMar>
              <w:top w:type="dxa" w:w="80"/>
              <w:left w:type="dxa" w:w="120"/>
              <w:bottom w:type="dxa" w:w="80"/>
              <w:right w:type="dxa" w:w="120"/>
            </w:tcMar>
          </w:tcPr>
          <w:p>
            <w:r>
              <w:t xml:space="preserve">분석팀·관계국</w:t>
            </w:r>
          </w:p>
        </w:tc>
      </w:tr>
      <w:tr>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3단계</w:t>
            </w:r>
          </w:p>
        </w:tc>
        <w:tc>
          <w:tcPr>
            <w:tcW w:type="dxa" w:w="4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보호구역 설계 워크숍·관리방안 합의</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18–24개월</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관리기관·보전단체</w:t>
            </w:r>
          </w:p>
        </w:tc>
      </w:tr>
      <w:tr>
        <w:tc>
          <w:tcPr>
            <w:tcW w:type="dxa" w:w="1300"/>
            <w:tcBorders>
              <w:top w:val="single" w:color="BBBBBB" w:sz="1"/>
              <w:left w:val="single" w:color="BBBBBB" w:sz="1"/>
              <w:bottom w:val="single" w:color="BBBBBB" w:sz="1"/>
              <w:right w:val="single" w:color="BBBBBB" w:sz="1"/>
            </w:tcBorders>
            <w:shd w:fill="EEF3F5" w:val="clear"/>
            <w:tcMar>
              <w:top w:type="dxa" w:w="80"/>
              <w:left w:type="dxa" w:w="120"/>
              <w:bottom w:type="dxa" w:w="80"/>
              <w:right w:type="dxa" w:w="120"/>
            </w:tcMar>
          </w:tcPr>
          <w:p>
            <w:r>
              <w:t xml:space="preserve">4단계</w:t>
            </w:r>
          </w:p>
        </w:tc>
        <w:tc>
          <w:tcPr>
            <w:tcW w:type="dxa" w:w="4060"/>
            <w:tcBorders>
              <w:top w:val="single" w:color="BBBBBB" w:sz="1"/>
              <w:left w:val="single" w:color="BBBBBB" w:sz="1"/>
              <w:bottom w:val="single" w:color="BBBBBB" w:sz="1"/>
              <w:right w:val="single" w:color="BBBBBB" w:sz="1"/>
            </w:tcBorders>
            <w:shd w:fill="EEF3F5" w:val="clear"/>
            <w:tcMar>
              <w:top w:type="dxa" w:w="80"/>
              <w:left w:type="dxa" w:w="120"/>
              <w:bottom w:type="dxa" w:w="80"/>
              <w:right w:type="dxa" w:w="120"/>
            </w:tcMar>
          </w:tcPr>
          <w:p>
            <w:r>
              <w:t xml:space="preserve">국제협약 체결·이행 공동 모니터링</w:t>
            </w:r>
          </w:p>
        </w:tc>
        <w:tc>
          <w:tcPr>
            <w:tcW w:type="dxa" w:w="1800"/>
            <w:tcBorders>
              <w:top w:val="single" w:color="BBBBBB" w:sz="1"/>
              <w:left w:val="single" w:color="BBBBBB" w:sz="1"/>
              <w:bottom w:val="single" w:color="BBBBBB" w:sz="1"/>
              <w:right w:val="single" w:color="BBBBBB" w:sz="1"/>
            </w:tcBorders>
            <w:shd w:fill="EEF3F5" w:val="clear"/>
            <w:tcMar>
              <w:top w:type="dxa" w:w="80"/>
              <w:left w:type="dxa" w:w="120"/>
              <w:bottom w:type="dxa" w:w="80"/>
              <w:right w:type="dxa" w:w="120"/>
            </w:tcMar>
          </w:tcPr>
          <w:p>
            <w:r>
              <w:t xml:space="preserve">24개월 이후</w:t>
            </w:r>
          </w:p>
        </w:tc>
        <w:tc>
          <w:tcPr>
            <w:tcW w:type="dxa" w:w="2200"/>
            <w:tcBorders>
              <w:top w:val="single" w:color="BBBBBB" w:sz="1"/>
              <w:left w:val="single" w:color="BBBBBB" w:sz="1"/>
              <w:bottom w:val="single" w:color="BBBBBB" w:sz="1"/>
              <w:right w:val="single" w:color="BBBBBB" w:sz="1"/>
            </w:tcBorders>
            <w:shd w:fill="EEF3F5" w:val="clear"/>
            <w:tcMar>
              <w:top w:type="dxa" w:w="80"/>
              <w:left w:type="dxa" w:w="120"/>
              <w:bottom w:type="dxa" w:w="80"/>
              <w:right w:type="dxa" w:w="120"/>
            </w:tcMar>
          </w:tcPr>
          <w:p>
            <w:r>
              <w:t xml:space="preserve">관계국·국제기구</w:t>
            </w:r>
          </w:p>
        </w:tc>
      </w:tr>
    </w:tbl>
    <w:p>
      <w:pPr>
        <w:pStyle w:val="Heading1"/>
      </w:pPr>
      <w:r>
        <w:t xml:space="preserve">7. 결론</w:t>
      </w:r>
    </w:p>
    <w:p>
      <w:pPr>
        <w:spacing w:after="160" w:line="312"/>
      </w:pPr>
      <w:r>
        <w:t xml:space="preserve">대규모 고해상도 추적 자료는 해양동물의 이동 패턴과 서식지 이용을 과학적으로 밝혀내어 보호구역 설정과 국제 협력을 추진하는 강력한 근거를 제공한다. Movebank·OBIS·Dryad 등의 공개 데이터는 종과 개체 수, 기간 면에서 충분히 풍부하여 정책 수립에 필요한 분석을 가능하게 한다. 이러한 자료를 통합하여 다양한 국가의 EEZ와 공해를 아우르는 보호 전략을 수립하고, 지속적인 데이터 공유와 적응형 관리를 통해 해양생물 보전을 강화해야 한다.</w:t>
      </w:r>
    </w:p>
    <w:p>
      <w:pPr>
        <w:pBdr>
          <w:top w:val="single" w:color="1F4E5F" w:sz="6" w:space="6"/>
        </w:pBdr>
        <w:spacing w:after="80" w:before="240"/>
      </w:pPr>
      <w:r>
        <w:rPr>
          <w:b/>
          <w:bCs/>
        </w:rPr>
        <w:t xml:space="preserve">비고</w:t>
      </w:r>
    </w:p>
    <w:p>
      <w:pPr>
        <w:spacing w:after="120"/>
      </w:pPr>
      <w:r>
        <w:rPr>
          <w:i/>
          <w:iCs/>
          <w:color w:val="555555"/>
          <w:sz w:val="20"/>
          <w:szCs w:val="20"/>
        </w:rPr>
        <w:t xml:space="preserve">본 제안서의 수치(Movebank 보유량, 거북·상어 추적 통계 등)는 원자료 출처의 보고 값을 인용한 것으로, 최종 제출 전 각 데이터셋·뉴스레터·논문 원문과의 대조 검증을 권장한다.</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 </w:t>
    </w:r>
    <w:r>
      <w:rPr>
        <w:color w:val="888888"/>
        <w:sz w:val="18"/>
        <w:szCs w:val="18"/>
      </w:rPr>
      <w:fldChar w:fldCharType="begin"/>
      <w:instrText xml:space="preserve">PAGE</w:instrText>
      <w:fldChar w:fldCharType="separate"/>
      <w:fldChar w:fldCharType="end"/>
    </w:r>
    <w:r>
      <w:rPr>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88888"/>
        <w:sz w:val="16"/>
        <w:szCs w:val="16"/>
      </w:rPr>
      <w:t xml:space="preserve">해양동물 이동 데이터 기반 보호구역 설정 및 국제 협력 제안서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14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Malgun Gothic" w:cs="Malgun Gothic" w:eastAsia="Malgun Gothic" w:hAnsi="Malgun Gothic"/>
      <w:b/>
      <w:bCs/>
      <w:color w:val="1F4E5F"/>
      <w:sz w:val="30"/>
      <w:szCs w:val="30"/>
    </w:rPr>
  </w:style>
  <w:style w:type="paragraph" w:styleId="Heading2">
    <w:name w:val="Heading 2"/>
    <w:basedOn w:val="Normal"/>
    <w:next w:val="Normal"/>
    <w:qFormat/>
    <w:pPr>
      <w:spacing w:after="120" w:before="220"/>
      <w:outlineLvl w:val="1"/>
    </w:pPr>
    <w:rPr>
      <w:rFonts w:ascii="Malgun Gothic" w:cs="Malgun Gothic" w:eastAsia="Malgun Gothic" w:hAnsi="Malgun Gothic"/>
      <w:b/>
      <w:bCs/>
      <w:color w:val="2E6B7E"/>
      <w:sz w:val="25"/>
      <w:szCs w:val="25"/>
    </w:rPr>
  </w:style>
  <w:style w:type="paragraph" w:styleId="Heading3">
    <w:name w:val="Heading 3"/>
    <w:basedOn w:val="Normal"/>
    <w:next w:val="Normal"/>
    <w:qFormat/>
    <w:pPr>
      <w:spacing w:after="100" w:before="160"/>
      <w:outlineLvl w:val="2"/>
    </w:pPr>
    <w:rPr>
      <w:rFonts w:ascii="Malgun Gothic" w:cs="Malgun Gothic" w:eastAsia="Malgun Gothic" w:hAnsi="Malgun Gothic"/>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2026-06-26T04:50:35.567Z</dcterms:created>
  <dcterms:modified xsi:type="dcterms:W3CDTF">2026-06-26T04:50:35.567Z</dcterms:modified>
</cp:coreProperties>
</file>

<file path=docProps/custom.xml><?xml version="1.0" encoding="utf-8"?>
<Properties xmlns="http://schemas.openxmlformats.org/officeDocument/2006/custom-properties" xmlns:vt="http://schemas.openxmlformats.org/officeDocument/2006/docPropsVTypes"/>
</file>