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60" w:lineRule="auto"/>
        <w:jc w:val="center"/>
      </w:pPr>
      <w:r>
        <w:rPr>
          <w:rFonts w:ascii="Times New Roman" w:hAnsi="Times New Roman"/>
          <w:b w:val="0"/>
          <w:i w:val="0"/>
          <w:color w:val="000000"/>
          <w:sz w:val="24"/>
        </w:rPr>
        <w:t>A Project Report on</w:t>
      </w:r>
    </w:p>
    <w:p>
      <w:pPr>
        <w:spacing w:after="280" w:line="360" w:lineRule="auto"/>
        <w:jc w:val="center"/>
      </w:pPr>
      <w:r>
        <w:rPr>
          <w:rFonts w:ascii="Times New Roman" w:hAnsi="Times New Roman"/>
          <w:b/>
          <w:i w:val="0"/>
          <w:color w:val="000000"/>
          <w:sz w:val="32"/>
        </w:rPr>
        <w:t>SENTINELX: A DETERMINISTIC SIEM CORRELATION ENGINE</w:t>
      </w:r>
    </w:p>
    <w:p>
      <w:pPr>
        <w:spacing w:after="40" w:line="360" w:lineRule="auto"/>
        <w:jc w:val="center"/>
      </w:pPr>
      <w:r>
        <w:rPr>
          <w:rFonts w:ascii="Times New Roman" w:hAnsi="Times New Roman"/>
          <w:b/>
          <w:i w:val="0"/>
          <w:color w:val="000000"/>
          <w:sz w:val="24"/>
        </w:rPr>
        <w:t>PS Code: CIS-117</w:t>
      </w:r>
    </w:p>
    <w:p>
      <w:pPr>
        <w:spacing w:after="40" w:line="360" w:lineRule="auto"/>
        <w:jc w:val="center"/>
      </w:pPr>
      <w:r>
        <w:rPr>
          <w:rFonts w:ascii="Times New Roman" w:hAnsi="Times New Roman"/>
          <w:b w:val="0"/>
          <w:i w:val="0"/>
          <w:color w:val="000000"/>
          <w:sz w:val="24"/>
        </w:rPr>
        <w:t>Domain: [D__]: Security Operations and Threat Detection</w:t>
      </w:r>
    </w:p>
    <w:p>
      <w:pPr>
        <w:spacing w:after="280" w:line="360" w:lineRule="auto"/>
        <w:jc w:val="center"/>
      </w:pPr>
      <w:r>
        <w:rPr>
          <w:rFonts w:ascii="Times New Roman" w:hAnsi="Times New Roman"/>
          <w:b w:val="0"/>
          <w:i w:val="0"/>
          <w:color w:val="000000"/>
          <w:sz w:val="24"/>
        </w:rPr>
        <w:t>Complexity: Intermediate</w:t>
      </w:r>
    </w:p>
    <w:p>
      <w:pPr>
        <w:spacing w:after="40" w:line="360" w:lineRule="auto"/>
        <w:jc w:val="center"/>
      </w:pPr>
      <w:r>
        <w:rPr>
          <w:rFonts w:ascii="Times New Roman" w:hAnsi="Times New Roman"/>
          <w:b w:val="0"/>
          <w:i w:val="0"/>
          <w:color w:val="000000"/>
          <w:sz w:val="24"/>
        </w:rPr>
        <w:t>Submitted in partial fulfilment of the requirements of the course</w:t>
      </w:r>
    </w:p>
    <w:p>
      <w:pPr>
        <w:spacing w:after="40" w:line="360" w:lineRule="auto"/>
        <w:jc w:val="center"/>
      </w:pPr>
      <w:r>
        <w:rPr>
          <w:rFonts w:ascii="Times New Roman" w:hAnsi="Times New Roman"/>
          <w:b w:val="0"/>
          <w:i w:val="0"/>
          <w:color w:val="000000"/>
          <w:sz w:val="24"/>
        </w:rPr>
        <w:t>Cryptography and Information Security (24UCYPC301) Laboratory</w:t>
      </w:r>
    </w:p>
    <w:p>
      <w:pPr>
        <w:spacing w:after="280" w:line="360" w:lineRule="auto"/>
        <w:jc w:val="center"/>
      </w:pPr>
      <w:r>
        <w:rPr>
          <w:rFonts w:ascii="Times New Roman" w:hAnsi="Times New Roman"/>
          <w:b w:val="0"/>
          <w:i w:val="0"/>
          <w:color w:val="000000"/>
          <w:sz w:val="24"/>
        </w:rPr>
        <w:t>T.Y. B.Tech Cyber Security, Semester V</w:t>
      </w:r>
    </w:p>
    <w:p>
      <w:pPr>
        <w:spacing w:after="40" w:line="360" w:lineRule="auto"/>
        <w:jc w:val="center"/>
      </w:pPr>
      <w:r>
        <w:rPr>
          <w:rFonts w:ascii="Times New Roman" w:hAnsi="Times New Roman"/>
          <w:b w:val="0"/>
          <w:i w:val="0"/>
          <w:color w:val="000000"/>
          <w:sz w:val="24"/>
        </w:rPr>
        <w:t>Submitted by</w:t>
      </w:r>
    </w:p>
    <w:p>
      <w:pPr>
        <w:spacing w:after="40" w:line="360" w:lineRule="auto"/>
        <w:jc w:val="center"/>
      </w:pPr>
      <w:r>
        <w:rPr>
          <w:rFonts w:ascii="Times New Roman" w:hAnsi="Times New Roman"/>
          <w:b/>
          <w:i w:val="0"/>
          <w:color w:val="000000"/>
          <w:sz w:val="24"/>
        </w:rPr>
        <w:t>[Student Full Name]</w:t>
      </w:r>
    </w:p>
    <w:p>
      <w:pPr>
        <w:spacing w:after="280" w:line="360" w:lineRule="auto"/>
        <w:jc w:val="center"/>
      </w:pPr>
      <w:r>
        <w:rPr>
          <w:rFonts w:ascii="Times New Roman" w:hAnsi="Times New Roman"/>
          <w:b w:val="0"/>
          <w:i w:val="0"/>
          <w:color w:val="000000"/>
          <w:sz w:val="24"/>
        </w:rPr>
        <w:t>PRN: [__________]     Roll No.: [__]</w:t>
      </w:r>
    </w:p>
    <w:p>
      <w:pPr>
        <w:spacing w:after="40" w:line="360" w:lineRule="auto"/>
        <w:jc w:val="center"/>
      </w:pPr>
      <w:r>
        <w:rPr>
          <w:rFonts w:ascii="Times New Roman" w:hAnsi="Times New Roman"/>
          <w:b w:val="0"/>
          <w:i w:val="0"/>
          <w:color w:val="000000"/>
          <w:sz w:val="24"/>
        </w:rPr>
        <w:t>Under the guidance of</w:t>
      </w:r>
    </w:p>
    <w:p>
      <w:pPr>
        <w:spacing w:after="40" w:line="360" w:lineRule="auto"/>
        <w:jc w:val="center"/>
      </w:pPr>
      <w:r>
        <w:rPr>
          <w:rFonts w:ascii="Times New Roman" w:hAnsi="Times New Roman"/>
          <w:b/>
          <w:i w:val="0"/>
          <w:color w:val="000000"/>
          <w:sz w:val="24"/>
        </w:rPr>
        <w:t>Dr Chetan Bawankar</w:t>
      </w:r>
    </w:p>
    <w:p>
      <w:pPr>
        <w:spacing w:after="200" w:line="360" w:lineRule="auto"/>
        <w:jc w:val="center"/>
      </w:pPr>
      <w:r>
        <w:rPr>
          <w:rFonts w:ascii="Times New Roman" w:hAnsi="Times New Roman"/>
          <w:b w:val="0"/>
          <w:i w:val="0"/>
          <w:color w:val="000000"/>
          <w:sz w:val="24"/>
        </w:rPr>
        <w:t>Head of Department of Cyber Security</w:t>
      </w:r>
    </w:p>
    <w:p>
      <w:pPr>
        <w:spacing w:after="40" w:line="360" w:lineRule="auto"/>
        <w:jc w:val="center"/>
      </w:pPr>
      <w:r>
        <w:rPr>
          <w:rFonts w:ascii="Times New Roman" w:hAnsi="Times New Roman"/>
          <w:b w:val="0"/>
          <w:i w:val="0"/>
          <w:color w:val="000000"/>
          <w:sz w:val="24"/>
        </w:rPr>
        <w:t>Department of Cyber Security</w:t>
      </w:r>
    </w:p>
    <w:p>
      <w:pPr>
        <w:spacing w:after="40" w:line="360" w:lineRule="auto"/>
        <w:jc w:val="center"/>
      </w:pPr>
      <w:r>
        <w:rPr>
          <w:rFonts w:ascii="Times New Roman" w:hAnsi="Times New Roman"/>
          <w:b w:val="0"/>
          <w:i w:val="0"/>
          <w:color w:val="000000"/>
          <w:sz w:val="24"/>
        </w:rPr>
        <w:t>School of Engineering and Technology</w:t>
      </w:r>
    </w:p>
    <w:p>
      <w:pPr>
        <w:spacing w:after="40" w:line="360" w:lineRule="auto"/>
        <w:jc w:val="center"/>
      </w:pPr>
      <w:r>
        <w:rPr>
          <w:rFonts w:ascii="Times New Roman" w:hAnsi="Times New Roman"/>
          <w:b w:val="0"/>
          <w:i w:val="0"/>
          <w:color w:val="000000"/>
          <w:sz w:val="24"/>
        </w:rPr>
        <w:t>Sanjivani University, Kopargaon</w:t>
      </w:r>
    </w:p>
    <w:p>
      <w:pPr>
        <w:spacing w:after="120" w:line="360" w:lineRule="auto"/>
        <w:jc w:val="center"/>
      </w:pPr>
      <w:r>
        <w:rPr>
          <w:rFonts w:ascii="Times New Roman" w:hAnsi="Times New Roman"/>
          <w:b/>
          <w:i w:val="0"/>
          <w:color w:val="000000"/>
          <w:sz w:val="24"/>
        </w:rPr>
        <w:t>Academic Year 2026-2027</w:t>
      </w:r>
    </w:p>
    <w:p>
      <w:r>
        <w:br w:type="page"/>
      </w:r>
    </w:p>
    <w:p>
      <w:pPr>
        <w:spacing w:after="280" w:line="360" w:lineRule="auto"/>
        <w:jc w:val="center"/>
      </w:pPr>
      <w:r>
        <w:rPr>
          <w:rFonts w:ascii="Times New Roman" w:hAnsi="Times New Roman"/>
          <w:b/>
          <w:i w:val="0"/>
          <w:color w:val="000000"/>
          <w:sz w:val="28"/>
        </w:rPr>
        <w:t>CERTIFICATE</w:t>
      </w:r>
    </w:p>
    <w:p>
      <w:pPr>
        <w:spacing w:after="560" w:line="360" w:lineRule="auto"/>
        <w:jc w:val="both"/>
      </w:pPr>
      <w:r>
        <w:rPr>
          <w:rFonts w:ascii="Times New Roman" w:hAnsi="Times New Roman"/>
          <w:b w:val="0"/>
          <w:i w:val="0"/>
          <w:color w:val="000000"/>
          <w:sz w:val="24"/>
        </w:rPr>
        <w:t>This is to certify that the project report entitled "SentinelX: A Deterministic SIEM Correlation Engine" (PS Code: CIS-117) submitted by [Student Full Name] (PRN: [__________]) is a bonafide record of the laboratory project work carried out by him/her under my guidance, in partial fulfilment of the requirements of the course Cryptography and Information Security (24UCYPC301) Laboratory, T.Y. B.Tech Cyber Security, during the Academic Year 2026-2027 at the Department of Cyber Security, School of Engineering and Technology, Sanjivani University, Kopargaon. The similarity index of this report is [__]%.</w:t>
      </w:r>
    </w:p>
    <w:p>
      <w:pPr>
        <w:spacing w:after="40" w:line="360" w:lineRule="auto"/>
        <w:jc w:val="left"/>
      </w:pPr>
      <w:r>
        <w:rPr>
          <w:rFonts w:ascii="Times New Roman" w:hAnsi="Times New Roman"/>
          <w:b w:val="0"/>
          <w:i w:val="0"/>
          <w:color w:val="000000"/>
          <w:sz w:val="24"/>
        </w:rPr>
        <w:t>(Signature)</w:t>
      </w:r>
    </w:p>
    <w:p>
      <w:pPr>
        <w:spacing w:after="40" w:line="360" w:lineRule="auto"/>
        <w:jc w:val="left"/>
      </w:pPr>
      <w:r>
        <w:rPr>
          <w:rFonts w:ascii="Times New Roman" w:hAnsi="Times New Roman"/>
          <w:b w:val="0"/>
          <w:i w:val="0"/>
          <w:color w:val="000000"/>
          <w:sz w:val="24"/>
        </w:rPr>
        <w:t>Mr Kunal Makar</w:t>
      </w:r>
    </w:p>
    <w:p>
      <w:pPr>
        <w:spacing w:after="400" w:line="360" w:lineRule="auto"/>
        <w:jc w:val="left"/>
      </w:pPr>
      <w:r>
        <w:rPr>
          <w:rFonts w:ascii="Times New Roman" w:hAnsi="Times New Roman"/>
          <w:b w:val="0"/>
          <w:i w:val="0"/>
          <w:color w:val="000000"/>
          <w:sz w:val="24"/>
        </w:rPr>
        <w:t>Subject Teacher</w:t>
      </w:r>
    </w:p>
    <w:p>
      <w:pPr>
        <w:spacing w:after="40" w:line="360" w:lineRule="auto"/>
        <w:jc w:val="right"/>
      </w:pPr>
      <w:r>
        <w:rPr>
          <w:rFonts w:ascii="Times New Roman" w:hAnsi="Times New Roman"/>
          <w:b w:val="0"/>
          <w:i w:val="0"/>
          <w:color w:val="000000"/>
          <w:sz w:val="24"/>
        </w:rPr>
        <w:t>(Signature)</w:t>
      </w:r>
    </w:p>
    <w:p>
      <w:pPr>
        <w:spacing w:after="40" w:line="360" w:lineRule="auto"/>
        <w:jc w:val="right"/>
      </w:pPr>
      <w:r>
        <w:rPr>
          <w:rFonts w:ascii="Times New Roman" w:hAnsi="Times New Roman"/>
          <w:b w:val="0"/>
          <w:i w:val="0"/>
          <w:color w:val="000000"/>
          <w:sz w:val="24"/>
        </w:rPr>
        <w:t>Dr. Chetan D. Bawankar</w:t>
      </w:r>
    </w:p>
    <w:p>
      <w:pPr>
        <w:spacing w:after="400" w:line="360" w:lineRule="auto"/>
        <w:jc w:val="right"/>
      </w:pPr>
      <w:r>
        <w:rPr>
          <w:rFonts w:ascii="Times New Roman" w:hAnsi="Times New Roman"/>
          <w:b w:val="0"/>
          <w:i w:val="0"/>
          <w:color w:val="000000"/>
          <w:sz w:val="24"/>
        </w:rPr>
        <w:t>Head, Department of Cyber Security</w:t>
      </w:r>
    </w:p>
    <w:p>
      <w:pPr>
        <w:spacing w:after="40" w:line="360" w:lineRule="auto"/>
        <w:jc w:val="left"/>
      </w:pPr>
      <w:r>
        <w:rPr>
          <w:rFonts w:ascii="Times New Roman" w:hAnsi="Times New Roman"/>
          <w:b w:val="0"/>
          <w:i w:val="0"/>
          <w:color w:val="000000"/>
          <w:sz w:val="24"/>
        </w:rPr>
        <w:t>Place: Kopargaon</w:t>
      </w:r>
    </w:p>
    <w:p>
      <w:pPr>
        <w:spacing w:after="120" w:line="360" w:lineRule="auto"/>
        <w:jc w:val="left"/>
      </w:pPr>
      <w:r>
        <w:rPr>
          <w:rFonts w:ascii="Times New Roman" w:hAnsi="Times New Roman"/>
          <w:b w:val="0"/>
          <w:i w:val="0"/>
          <w:color w:val="000000"/>
          <w:sz w:val="24"/>
        </w:rPr>
        <w:t>Date: __/__/____</w:t>
      </w:r>
    </w:p>
    <w:p>
      <w:r>
        <w:br w:type="page"/>
      </w:r>
    </w:p>
    <w:p>
      <w:pPr>
        <w:spacing w:after="80" w:line="360" w:lineRule="auto"/>
        <w:jc w:val="center"/>
      </w:pPr>
      <w:r>
        <w:rPr>
          <w:rFonts w:ascii="Times New Roman" w:hAnsi="Times New Roman"/>
          <w:b/>
          <w:i w:val="0"/>
          <w:color w:val="000000"/>
          <w:sz w:val="28"/>
        </w:rPr>
        <w:t>SentinelX: A Deterministic SIEM Correlation Engine</w:t>
      </w:r>
    </w:p>
    <w:p>
      <w:pPr>
        <w:spacing w:after="240" w:line="360" w:lineRule="auto"/>
        <w:jc w:val="center"/>
      </w:pPr>
      <w:r>
        <w:rPr>
          <w:rFonts w:ascii="Times New Roman" w:hAnsi="Times New Roman"/>
          <w:b w:val="0"/>
          <w:i w:val="0"/>
          <w:color w:val="000000"/>
          <w:sz w:val="24"/>
        </w:rPr>
        <w:t>Student: [Name]     PRN: [__________]     PS Code: CIS-117</w:t>
      </w:r>
    </w:p>
    <w:p>
      <w:pPr>
        <w:spacing w:after="120" w:line="360" w:lineRule="auto"/>
        <w:jc w:val="left"/>
      </w:pPr>
      <w:r>
        <w:rPr>
          <w:rFonts w:ascii="Times New Roman" w:hAnsi="Times New Roman"/>
          <w:b/>
          <w:i w:val="0"/>
          <w:color w:val="000000"/>
          <w:sz w:val="28"/>
        </w:rPr>
        <w:t>Abstract</w:t>
      </w:r>
    </w:p>
    <w:p>
      <w:pPr>
        <w:spacing w:after="120" w:line="360" w:lineRule="auto"/>
        <w:jc w:val="both"/>
      </w:pPr>
      <w:r>
        <w:rPr>
          <w:rFonts w:ascii="Times New Roman" w:hAnsi="Times New Roman"/>
          <w:b w:val="0"/>
          <w:i w:val="0"/>
          <w:color w:val="000000"/>
          <w:sz w:val="24"/>
        </w:rPr>
        <w:t>Security operations teams are overwhelmed by the volume of raw log events, in which the signal of a genuine attack is easily buried. SentinelX is a deterministic Security Information and Event Management (SIEM) correlation engine that ingests security events, normalizes them to a canonical schema, persists them, and correlates them against five explicit detection rules to produce explainable, evidence-linked alerts. Detection is rule-based and reproducible - there is no machine learning - and alert de-duplication uses a SHA-256 fingerprint of the rule and its correlation entities. The system is implemented with a FastAPI (Python) backend, a SQLAlchemy/SQLite data layer, and a React/TypeScript dashboard. It detects brute force, password spraying, failed-then-successful logins, port scans, and privilege escalation; it was validated by an automated suite of 70 passing tests and an end-to-end functional run. The result is a transparent, auditable detection pipeline suitable for a controlled demonstration.</w:t>
      </w:r>
    </w:p>
    <w:p>
      <w:pPr>
        <w:spacing w:after="120" w:line="360" w:lineRule="auto"/>
        <w:jc w:val="both"/>
      </w:pPr>
      <w:r>
        <w:rPr>
          <w:rFonts w:ascii="Times New Roman" w:hAnsi="Times New Roman"/>
          <w:b w:val="0"/>
          <w:i w:val="0"/>
          <w:color w:val="000000"/>
          <w:sz w:val="24"/>
        </w:rPr>
        <w:t>Keywords: SIEM, event correlation, intrusion detection, SHA-256 fingerprinting, deterministic rules, FastAPI</w:t>
      </w:r>
    </w:p>
    <w:p>
      <w:pPr>
        <w:spacing w:after="120" w:line="360" w:lineRule="auto"/>
        <w:jc w:val="left"/>
      </w:pPr>
      <w:r>
        <w:rPr>
          <w:rFonts w:ascii="Times New Roman" w:hAnsi="Times New Roman"/>
          <w:b/>
          <w:i w:val="0"/>
          <w:color w:val="000000"/>
          <w:sz w:val="28"/>
        </w:rPr>
        <w:t>1. Introduction and Problem Statement</w:t>
      </w:r>
    </w:p>
    <w:p>
      <w:pPr>
        <w:spacing w:after="120" w:line="360" w:lineRule="auto"/>
        <w:jc w:val="both"/>
      </w:pPr>
      <w:r>
        <w:rPr>
          <w:rFonts w:ascii="Times New Roman" w:hAnsi="Times New Roman"/>
          <w:b w:val="0"/>
          <w:i w:val="0"/>
          <w:color w:val="000000"/>
          <w:sz w:val="24"/>
        </w:rPr>
        <w:t>A SIEM centralises security-relevant events from many sources and helps analysts detect and investigate threats. As networks scale, the number of events grows far beyond what a human can read, and meaningful attacks appear only as patterns across many individual events rather than in any single line [1]. The problem addressed by this project is to correlate such events deterministically and to raise a small number of explainable alerts, each linked to the exact evidence that triggered it, so that an analyst can quickly understand and act on an incident.</w:t>
      </w:r>
    </w:p>
    <w:p>
      <w:pPr>
        <w:spacing w:after="120" w:line="360" w:lineRule="auto"/>
        <w:jc w:val="both"/>
      </w:pPr>
      <w:r>
        <w:rPr>
          <w:rFonts w:ascii="Times New Roman" w:hAnsi="Times New Roman"/>
          <w:b w:val="0"/>
          <w:i w:val="0"/>
          <w:color w:val="000000"/>
          <w:sz w:val="24"/>
        </w:rPr>
        <w:t>Established tools exist - Splunk, the Elastic (ELK) stack, and open-source platforms such as Wazuh and OSSEC [5] - but they are heavyweight and their detection logic is often opaque to a learner. Attack techniques themselves are well catalogued by the MITRE ATT&amp;CK framework [3], and secure log-management practice is standardised by NIST [1]. The gap this project addresses is a compact, fully transparent, deterministic correlation engine whose every alert can be justified exactly by its rule, threshold, time window, and evidence - built for study and demonstration rather than as a black box.</w:t>
      </w:r>
    </w:p>
    <w:p>
      <w:pPr>
        <w:spacing w:after="120" w:line="360" w:lineRule="auto"/>
        <w:jc w:val="left"/>
      </w:pPr>
      <w:r>
        <w:rPr>
          <w:rFonts w:ascii="Times New Roman" w:hAnsi="Times New Roman"/>
          <w:b/>
          <w:i w:val="0"/>
          <w:color w:val="000000"/>
          <w:sz w:val="28"/>
        </w:rPr>
        <w:t>2. Objectives</w:t>
      </w:r>
    </w:p>
    <w:p>
      <w:pPr>
        <w:spacing w:after="120" w:line="360" w:lineRule="auto"/>
        <w:jc w:val="both"/>
      </w:pPr>
      <w:r>
        <w:rPr>
          <w:rFonts w:ascii="Times New Roman" w:hAnsi="Times New Roman"/>
          <w:b w:val="0"/>
          <w:i w:val="0"/>
          <w:color w:val="000000"/>
          <w:sz w:val="24"/>
        </w:rPr>
        <w:t>1. Design and implement a deterministic SIEM pipeline that ingests, normalizes, and persists heterogeneous security events through a typed REST API.</w:t>
      </w:r>
    </w:p>
    <w:p>
      <w:pPr>
        <w:spacing w:after="120" w:line="360" w:lineRule="auto"/>
        <w:jc w:val="both"/>
      </w:pPr>
      <w:r>
        <w:rPr>
          <w:rFonts w:ascii="Times New Roman" w:hAnsi="Times New Roman"/>
          <w:b w:val="0"/>
          <w:i w:val="0"/>
          <w:color w:val="000000"/>
          <w:sz w:val="24"/>
        </w:rPr>
        <w:t>2. Implement five explicit correlation rules covering credential attacks, reconnaissance, and privilege escalation, each producing explainable, evidence-linked alerts.</w:t>
      </w:r>
    </w:p>
    <w:p>
      <w:pPr>
        <w:spacing w:after="120" w:line="360" w:lineRule="auto"/>
        <w:jc w:val="both"/>
      </w:pPr>
      <w:r>
        <w:rPr>
          <w:rFonts w:ascii="Times New Roman" w:hAnsi="Times New Roman"/>
          <w:b w:val="0"/>
          <w:i w:val="0"/>
          <w:color w:val="000000"/>
          <w:sz w:val="24"/>
        </w:rPr>
        <w:t>3. Guarantee alert integrity and prevent duplicate alerts using SHA-256 entity fingerprinting with idempotent upserts.</w:t>
      </w:r>
    </w:p>
    <w:p>
      <w:pPr>
        <w:spacing w:after="120" w:line="360" w:lineRule="auto"/>
        <w:jc w:val="both"/>
      </w:pPr>
      <w:r>
        <w:rPr>
          <w:rFonts w:ascii="Times New Roman" w:hAnsi="Times New Roman"/>
          <w:b w:val="0"/>
          <w:i w:val="0"/>
          <w:color w:val="000000"/>
          <w:sz w:val="24"/>
        </w:rPr>
        <w:t>4. Provide an investigation and analytics dashboard (evidence timeline, status lifecycle, JSON export) and validate the system with an automated test suite.</w:t>
      </w:r>
    </w:p>
    <w:p>
      <w:pPr>
        <w:spacing w:after="120" w:line="360" w:lineRule="auto"/>
        <w:jc w:val="left"/>
      </w:pPr>
      <w:r>
        <w:rPr>
          <w:rFonts w:ascii="Times New Roman" w:hAnsi="Times New Roman"/>
          <w:b/>
          <w:i w:val="0"/>
          <w:color w:val="000000"/>
          <w:sz w:val="28"/>
        </w:rPr>
        <w:t>3. Methodology and System Design</w:t>
      </w:r>
    </w:p>
    <w:p>
      <w:pPr>
        <w:spacing w:after="120" w:line="360" w:lineRule="auto"/>
        <w:jc w:val="both"/>
      </w:pPr>
      <w:r>
        <w:rPr>
          <w:rFonts w:ascii="Times New Roman" w:hAnsi="Times New Roman"/>
          <w:b w:val="0"/>
          <w:i w:val="0"/>
          <w:color w:val="000000"/>
          <w:sz w:val="24"/>
        </w:rPr>
        <w:t>SentinelX follows a layered, data-flow architecture (Figure 3.1). Events enter through the ingestion API or the built-in Simulation Lab; each record is validated and normalized; valid records are stored in SQLite; and, only on an explicit request, the correlation engine evaluates the stored events against the active rules and upserts alerts with their evidence. The frontend is presentation-only and communicates with the backend solely over HTTP.</w:t>
      </w:r>
    </w:p>
    <w:p>
      <w:pPr>
        <w:jc w:val="center"/>
      </w:pPr>
      <w:r>
        <w:drawing>
          <wp:inline xmlns:a="http://schemas.openxmlformats.org/drawingml/2006/main" xmlns:pic="http://schemas.openxmlformats.org/drawingml/2006/picture">
            <wp:extent cx="5486400" cy="1260389"/>
            <wp:docPr id="1" name="Picture 1"/>
            <wp:cNvGraphicFramePr>
              <a:graphicFrameLocks noChangeAspect="1"/>
            </wp:cNvGraphicFramePr>
            <a:graphic>
              <a:graphicData uri="http://schemas.openxmlformats.org/drawingml/2006/picture">
                <pic:pic>
                  <pic:nvPicPr>
                    <pic:cNvPr id="0" name="siem_fig31.png"/>
                    <pic:cNvPicPr/>
                  </pic:nvPicPr>
                  <pic:blipFill>
                    <a:blip r:embed="rId9"/>
                    <a:stretch>
                      <a:fillRect/>
                    </a:stretch>
                  </pic:blipFill>
                  <pic:spPr>
                    <a:xfrm>
                      <a:off x="0" y="0"/>
                      <a:ext cx="5486400" cy="1260389"/>
                    </a:xfrm>
                    <a:prstGeom prst="rect"/>
                  </pic:spPr>
                </pic:pic>
              </a:graphicData>
            </a:graphic>
          </wp:inline>
        </w:drawing>
      </w:r>
    </w:p>
    <w:p>
      <w:pPr>
        <w:spacing w:after="200" w:line="360" w:lineRule="auto"/>
        <w:jc w:val="center"/>
      </w:pPr>
      <w:r>
        <w:rPr>
          <w:rFonts w:ascii="Times New Roman" w:hAnsi="Times New Roman"/>
          <w:b w:val="0"/>
          <w:i/>
          <w:color w:val="000000"/>
          <w:sz w:val="22"/>
        </w:rPr>
        <w:t>Figure 3.1: SentinelX system architecture and data-flow pipeline.</w:t>
      </w:r>
    </w:p>
    <w:p>
      <w:pPr>
        <w:spacing w:after="120" w:line="360" w:lineRule="auto"/>
        <w:jc w:val="both"/>
      </w:pPr>
      <w:r>
        <w:rPr>
          <w:rFonts w:ascii="Times New Roman" w:hAnsi="Times New Roman"/>
          <w:b w:val="0"/>
          <w:i w:val="0"/>
          <w:color w:val="000000"/>
          <w:sz w:val="24"/>
        </w:rPr>
        <w:t>Modules. (a) Normalization validates each event - timestamps (ISO-8601 or epoch), IP addresses (via the standard ipaddress library), destination ports (0-65535) - and maps event types and severities to a controlled vocabulary; one bad record is rejected individually without failing the batch. (b) Persistence stores normalized events and deduplicated alerts. (c) The detection engine runs five pure rule functions over sliding time windows. (d) The service layer orchestrates loading, evaluation, and a single-transaction upsert of alerts.</w:t>
      </w:r>
    </w:p>
    <w:p>
      <w:pPr>
        <w:spacing w:after="120" w:line="360" w:lineRule="auto"/>
        <w:jc w:val="both"/>
      </w:pPr>
      <w:r>
        <w:rPr>
          <w:rFonts w:ascii="Times New Roman" w:hAnsi="Times New Roman"/>
          <w:b w:val="0"/>
          <w:i w:val="0"/>
          <w:color w:val="000000"/>
          <w:sz w:val="24"/>
        </w:rPr>
        <w:t>Detection algorithm. Each rule groups events by a correlation entity (such as source IP or username) and counts occurrences inside a sliding window; a detection is raised when the count meets the rule threshold. The windowing is deterministic (Section 4). The cryptographic component of the system is a SHA-256 fingerprint computed over the rule identifier and the sorted correlation entities [2]; this fingerprint is the stable, collision-resistant key used to deduplicate alerts, so the same ongoing attack remains a single incident across re-runs.</w:t>
      </w:r>
    </w:p>
    <w:p>
      <w:pPr>
        <w:spacing w:after="120" w:line="360" w:lineRule="auto"/>
        <w:jc w:val="both"/>
      </w:pPr>
      <w:r>
        <w:rPr>
          <w:rFonts w:ascii="Times New Roman" w:hAnsi="Times New Roman"/>
          <w:b w:val="0"/>
          <w:i w:val="0"/>
          <w:color w:val="000000"/>
          <w:sz w:val="24"/>
        </w:rPr>
        <w:t>The five rules and their default parameters are:</w:t>
      </w:r>
    </w:p>
    <w:p>
      <w:pPr>
        <w:spacing w:after="40" w:line="360" w:lineRule="auto"/>
        <w:jc w:val="both"/>
      </w:pPr>
      <w:r>
        <w:rPr>
          <w:rFonts w:ascii="Times New Roman" w:hAnsi="Times New Roman"/>
          <w:b w:val="0"/>
          <w:i w:val="0"/>
          <w:color w:val="000000"/>
          <w:sz w:val="24"/>
        </w:rPr>
        <w:t>- AUTH-001 Brute Force - 10 authentication failures from one source IP within 60 s (high).</w:t>
      </w:r>
    </w:p>
    <w:p>
      <w:pPr>
        <w:spacing w:after="40" w:line="360" w:lineRule="auto"/>
        <w:jc w:val="both"/>
      </w:pPr>
      <w:r>
        <w:rPr>
          <w:rFonts w:ascii="Times New Roman" w:hAnsi="Times New Roman"/>
          <w:b w:val="0"/>
          <w:i w:val="0"/>
          <w:color w:val="000000"/>
          <w:sz w:val="24"/>
        </w:rPr>
        <w:t>- AUTH-002 Password Spraying - 5 distinct accounts from one source IP within 300 s (high).</w:t>
      </w:r>
    </w:p>
    <w:p>
      <w:pPr>
        <w:spacing w:after="40" w:line="360" w:lineRule="auto"/>
        <w:jc w:val="both"/>
      </w:pPr>
      <w:r>
        <w:rPr>
          <w:rFonts w:ascii="Times New Roman" w:hAnsi="Times New Roman"/>
          <w:b w:val="0"/>
          <w:i w:val="0"/>
          <w:color w:val="000000"/>
          <w:sz w:val="24"/>
        </w:rPr>
        <w:t>- AUTH-003 Failed Logins then Success - 5 failures then a success for the same IP and account within 300 s (critical).</w:t>
      </w:r>
    </w:p>
    <w:p>
      <w:pPr>
        <w:spacing w:after="40" w:line="360" w:lineRule="auto"/>
        <w:jc w:val="both"/>
      </w:pPr>
      <w:r>
        <w:rPr>
          <w:rFonts w:ascii="Times New Roman" w:hAnsi="Times New Roman"/>
          <w:b w:val="0"/>
          <w:i w:val="0"/>
          <w:color w:val="000000"/>
          <w:sz w:val="24"/>
        </w:rPr>
        <w:t>- NET-001 Port Scan - 15 distinct destination ports from one source IP within 60 s (medium).</w:t>
      </w:r>
    </w:p>
    <w:p>
      <w:pPr>
        <w:spacing w:after="160" w:line="360" w:lineRule="auto"/>
        <w:jc w:val="both"/>
      </w:pPr>
      <w:r>
        <w:rPr>
          <w:rFonts w:ascii="Times New Roman" w:hAnsi="Times New Roman"/>
          <w:b w:val="0"/>
          <w:i w:val="0"/>
          <w:color w:val="000000"/>
          <w:sz w:val="24"/>
        </w:rPr>
        <w:t>- PRIV-001 Privilege Escalation - an escalation event followed by a sensitive action by the same user within 300 s (high).</w:t>
      </w:r>
    </w:p>
    <w:p>
      <w:pPr>
        <w:spacing w:after="120" w:line="360" w:lineRule="auto"/>
        <w:jc w:val="both"/>
      </w:pPr>
      <w:r>
        <w:rPr>
          <w:rFonts w:ascii="Times New Roman" w:hAnsi="Times New Roman"/>
          <w:b w:val="0"/>
          <w:i w:val="0"/>
          <w:color w:val="000000"/>
          <w:sz w:val="24"/>
        </w:rPr>
        <w:t>Threat model. The system is designed to detect the five attack patterns above and to keep each alert auditable through its stored evidence; SHA-256 fingerprinting protects the integrity of alert identity. Input-level threats (malformed, oversized, or duplicate events) are mitigated by strict validation, bounded ingestion limits, and event-UID de-duplication. A known limitation, analysed in Section 5, is the absence of an authentication layer on the API.</w:t>
      </w:r>
    </w:p>
    <w:p>
      <w:pPr>
        <w:spacing w:after="120" w:line="360" w:lineRule="auto"/>
        <w:jc w:val="left"/>
      </w:pPr>
      <w:r>
        <w:rPr>
          <w:rFonts w:ascii="Times New Roman" w:hAnsi="Times New Roman"/>
          <w:b/>
          <w:i w:val="0"/>
          <w:color w:val="000000"/>
          <w:sz w:val="28"/>
        </w:rPr>
        <w:t>4. Implementation</w:t>
      </w:r>
    </w:p>
    <w:p>
      <w:pPr>
        <w:spacing w:after="120" w:line="360" w:lineRule="auto"/>
        <w:jc w:val="both"/>
      </w:pPr>
      <w:r>
        <w:rPr>
          <w:rFonts w:ascii="Times New Roman" w:hAnsi="Times New Roman"/>
          <w:b w:val="0"/>
          <w:i w:val="0"/>
          <w:color w:val="000000"/>
          <w:sz w:val="24"/>
        </w:rPr>
        <w:t>The backend uses Python 3.10.7 with FastAPI 0.143, SQLAlchemy 2.0, Uvicorn, and Pydantic 2 for validation; persistence is SQLite. The frontend uses React 19, Vite, TypeScript, and Tailwind CSS. Testing uses Pytest 9.1 with the FastAPI TestClient. The backend is organised into thin API routes, a normalization package, a pure detection package (engine plus five rules), and a repository layer that owns all database access; only the service layer touches the database during correlation, keeping the rules pure and independently testable.</w:t>
      </w:r>
    </w:p>
    <w:p>
      <w:pPr>
        <w:spacing w:after="40" w:line="360" w:lineRule="auto"/>
        <w:jc w:val="both"/>
      </w:pPr>
      <w:r>
        <w:rPr>
          <w:rFonts w:ascii="Times New Roman" w:hAnsi="Times New Roman"/>
          <w:b/>
          <w:i w:val="0"/>
          <w:color w:val="000000"/>
          <w:sz w:val="24"/>
        </w:rPr>
        <w:t>Snippet 4.1 - SHA-256 alert fingerprint (deterministic de-duplication key):</w:t>
      </w:r>
    </w:p>
    <w:p>
      <w:pPr>
        <w:spacing w:line="240" w:lineRule="auto" w:after="0"/>
      </w:pPr>
      <w:r>
        <w:rPr>
          <w:rFonts w:ascii="Courier New" w:hAnsi="Courier New"/>
          <w:color w:val="000000"/>
          <w:sz w:val="19"/>
        </w:rPr>
        <w:t>import hashlib</w:t>
      </w:r>
    </w:p>
    <w:p>
      <w:pPr>
        <w:spacing w:line="240" w:lineRule="auto" w:after="0"/>
      </w:pPr>
      <w:r>
        <w:rPr>
          <w:rFonts w:ascii="Courier New" w:hAnsi="Courier New"/>
          <w:color w:val="000000"/>
          <w:sz w:val="19"/>
        </w:rPr>
        <w:t xml:space="preserve"> </w:t>
      </w:r>
    </w:p>
    <w:p>
      <w:pPr>
        <w:spacing w:line="240" w:lineRule="auto" w:after="0"/>
      </w:pPr>
      <w:r>
        <w:rPr>
          <w:rFonts w:ascii="Courier New" w:hAnsi="Courier New"/>
          <w:color w:val="000000"/>
          <w:sz w:val="19"/>
        </w:rPr>
        <w:t>def make_fingerprint(rule_id, entities):</w:t>
      </w:r>
    </w:p>
    <w:p>
      <w:pPr>
        <w:spacing w:line="240" w:lineRule="auto" w:after="0"/>
      </w:pPr>
      <w:r>
        <w:rPr>
          <w:rFonts w:ascii="Courier New" w:hAnsi="Courier New"/>
          <w:color w:val="000000"/>
          <w:sz w:val="19"/>
        </w:rPr>
        <w:t xml:space="preserve">    parts = [rule_id] + [f"{k}={entities[k]}" for k in sorted(entities)]</w:t>
      </w:r>
    </w:p>
    <w:p>
      <w:pPr>
        <w:spacing w:line="240" w:lineRule="auto" w:after="0"/>
      </w:pPr>
      <w:r>
        <w:rPr>
          <w:rFonts w:ascii="Courier New" w:hAnsi="Courier New"/>
          <w:color w:val="000000"/>
          <w:sz w:val="19"/>
        </w:rPr>
        <w:t xml:space="preserve">    return hashlib.sha256("|".join(parts).encode("utf-8")).hexdigest()</w:t>
      </w:r>
    </w:p>
    <w:p>
      <w:pPr>
        <w:spacing w:after="120" w:line="360" w:lineRule="auto"/>
        <w:jc w:val="both"/>
      </w:pPr>
    </w:p>
    <w:p>
      <w:pPr>
        <w:spacing w:after="40" w:line="360" w:lineRule="auto"/>
        <w:jc w:val="both"/>
      </w:pPr>
      <w:r>
        <w:rPr>
          <w:rFonts w:ascii="Times New Roman" w:hAnsi="Times New Roman"/>
          <w:b/>
          <w:i w:val="0"/>
          <w:color w:val="000000"/>
          <w:sz w:val="24"/>
        </w:rPr>
        <w:t>Snippet 4.2 - deterministic sliding-window counter (core of the threshold rules):</w:t>
      </w:r>
    </w:p>
    <w:p>
      <w:pPr>
        <w:spacing w:line="240" w:lineRule="auto" w:after="0"/>
      </w:pPr>
      <w:r>
        <w:rPr>
          <w:rFonts w:ascii="Courier New" w:hAnsi="Courier New"/>
          <w:color w:val="000000"/>
          <w:sz w:val="19"/>
        </w:rPr>
        <w:t>def mark_count_windows(events, window_seconds, threshold):</w:t>
      </w:r>
    </w:p>
    <w:p>
      <w:pPr>
        <w:spacing w:line="240" w:lineRule="auto" w:after="0"/>
      </w:pPr>
      <w:r>
        <w:rPr>
          <w:rFonts w:ascii="Courier New" w:hAnsi="Courier New"/>
          <w:color w:val="000000"/>
          <w:sz w:val="19"/>
        </w:rPr>
        <w:t xml:space="preserve">    window = timedelta(seconds=window_seconds)</w:t>
      </w:r>
    </w:p>
    <w:p>
      <w:pPr>
        <w:spacing w:line="240" w:lineRule="auto" w:after="0"/>
      </w:pPr>
      <w:r>
        <w:rPr>
          <w:rFonts w:ascii="Courier New" w:hAnsi="Courier New"/>
          <w:color w:val="000000"/>
          <w:sz w:val="19"/>
        </w:rPr>
        <w:t xml:space="preserve">    marked, left = set(), 0</w:t>
      </w:r>
    </w:p>
    <w:p>
      <w:pPr>
        <w:spacing w:line="240" w:lineRule="auto" w:after="0"/>
      </w:pPr>
      <w:r>
        <w:rPr>
          <w:rFonts w:ascii="Courier New" w:hAnsi="Courier New"/>
          <w:color w:val="000000"/>
          <w:sz w:val="19"/>
        </w:rPr>
        <w:t xml:space="preserve">    for right in range(len(events)):</w:t>
      </w:r>
    </w:p>
    <w:p>
      <w:pPr>
        <w:spacing w:line="240" w:lineRule="auto" w:after="0"/>
      </w:pPr>
      <w:r>
        <w:rPr>
          <w:rFonts w:ascii="Courier New" w:hAnsi="Courier New"/>
          <w:color w:val="000000"/>
          <w:sz w:val="19"/>
        </w:rPr>
        <w:t xml:space="preserve">        while events[right].timestamp - events[left].timestamp &gt; window:</w:t>
      </w:r>
    </w:p>
    <w:p>
      <w:pPr>
        <w:spacing w:line="240" w:lineRule="auto" w:after="0"/>
      </w:pPr>
      <w:r>
        <w:rPr>
          <w:rFonts w:ascii="Courier New" w:hAnsi="Courier New"/>
          <w:color w:val="000000"/>
          <w:sz w:val="19"/>
        </w:rPr>
        <w:t xml:space="preserve">            left += 1</w:t>
      </w:r>
    </w:p>
    <w:p>
      <w:pPr>
        <w:spacing w:line="240" w:lineRule="auto" w:after="0"/>
      </w:pPr>
      <w:r>
        <w:rPr>
          <w:rFonts w:ascii="Courier New" w:hAnsi="Courier New"/>
          <w:color w:val="000000"/>
          <w:sz w:val="19"/>
        </w:rPr>
        <w:t xml:space="preserve">        if right - left + 1 &gt;= threshold:</w:t>
      </w:r>
    </w:p>
    <w:p>
      <w:pPr>
        <w:spacing w:line="240" w:lineRule="auto" w:after="0"/>
      </w:pPr>
      <w:r>
        <w:rPr>
          <w:rFonts w:ascii="Courier New" w:hAnsi="Courier New"/>
          <w:color w:val="000000"/>
          <w:sz w:val="19"/>
        </w:rPr>
        <w:t xml:space="preserve">            marked.update(range(left, right + 1))</w:t>
      </w:r>
    </w:p>
    <w:p>
      <w:pPr>
        <w:spacing w:line="240" w:lineRule="auto" w:after="0"/>
      </w:pPr>
      <w:r>
        <w:rPr>
          <w:rFonts w:ascii="Courier New" w:hAnsi="Courier New"/>
          <w:color w:val="000000"/>
          <w:sz w:val="19"/>
        </w:rPr>
        <w:t xml:space="preserve">    return [events[i] for i in sorted(marked)]</w:t>
      </w:r>
    </w:p>
    <w:p>
      <w:pPr>
        <w:spacing w:after="120" w:line="360" w:lineRule="auto"/>
        <w:jc w:val="both"/>
      </w:pPr>
    </w:p>
    <w:p>
      <w:pPr>
        <w:spacing w:after="120" w:line="360" w:lineRule="auto"/>
        <w:jc w:val="left"/>
      </w:pPr>
      <w:r>
        <w:rPr>
          <w:rFonts w:ascii="Times New Roman" w:hAnsi="Times New Roman"/>
          <w:b/>
          <w:i w:val="0"/>
          <w:color w:val="000000"/>
          <w:sz w:val="28"/>
        </w:rPr>
        <w:t>5. Results and Security Analysis</w:t>
      </w:r>
    </w:p>
    <w:p>
      <w:pPr>
        <w:spacing w:after="120" w:line="360" w:lineRule="auto"/>
        <w:jc w:val="both"/>
      </w:pPr>
      <w:r>
        <w:rPr>
          <w:rFonts w:ascii="Times New Roman" w:hAnsi="Times New Roman"/>
          <w:b w:val="0"/>
          <w:i w:val="0"/>
          <w:color w:val="000000"/>
          <w:sz w:val="24"/>
        </w:rPr>
        <w:t>The system was validated with an automated test suite and an end-to-end functional run against an isolated database. Table 5.1 lists representative test cases and their observed results.</w:t>
      </w:r>
    </w:p>
    <w:p>
      <w:pPr>
        <w:spacing w:after="80" w:line="360" w:lineRule="auto"/>
        <w:jc w:val="center"/>
      </w:pPr>
      <w:r>
        <w:rPr>
          <w:rFonts w:ascii="Times New Roman" w:hAnsi="Times New Roman"/>
          <w:b/>
          <w:i w:val="0"/>
          <w:color w:val="000000"/>
          <w:sz w:val="24"/>
        </w:rPr>
        <w:t>Table 5.1: Test Cases</w:t>
      </w:r>
    </w:p>
    <w:tbl>
      <w:tblPr>
        <w:tblStyle w:val="TableGrid"/>
        <w:tblW w:type="auto" w:w="0"/>
        <w:tblLook w:firstColumn="1" w:firstRow="1" w:lastColumn="0" w:lastRow="0" w:noHBand="0" w:noVBand="1" w:val="04A0"/>
      </w:tblPr>
      <w:tblGrid>
        <w:gridCol w:w="1733"/>
        <w:gridCol w:w="1733"/>
        <w:gridCol w:w="1733"/>
        <w:gridCol w:w="1733"/>
        <w:gridCol w:w="1733"/>
      </w:tblGrid>
      <w:tr>
        <w:tc>
          <w:tcPr>
            <w:tcW w:type="dxa" w:w="1008"/>
          </w:tcPr>
          <w:p>
            <w:pPr>
              <w:spacing w:line="240" w:lineRule="auto" w:after="0"/>
            </w:pPr>
            <w:r/>
            <w:r>
              <w:rPr>
                <w:rFonts w:ascii="Times New Roman" w:hAnsi="Times New Roman"/>
                <w:b/>
                <w:color w:val="000000"/>
                <w:sz w:val="20"/>
              </w:rPr>
              <w:t>Test ID</w:t>
            </w:r>
          </w:p>
        </w:tc>
        <w:tc>
          <w:tcPr>
            <w:tcW w:type="dxa" w:w="3168"/>
          </w:tcPr>
          <w:p>
            <w:pPr>
              <w:spacing w:line="240" w:lineRule="auto" w:after="0"/>
            </w:pPr>
            <w:r/>
            <w:r>
              <w:rPr>
                <w:rFonts w:ascii="Times New Roman" w:hAnsi="Times New Roman"/>
                <w:b/>
                <w:color w:val="000000"/>
                <w:sz w:val="20"/>
              </w:rPr>
              <w:t>Input / Action</w:t>
            </w:r>
          </w:p>
        </w:tc>
        <w:tc>
          <w:tcPr>
            <w:tcW w:type="dxa" w:w="2448"/>
          </w:tcPr>
          <w:p>
            <w:pPr>
              <w:spacing w:line="240" w:lineRule="auto" w:after="0"/>
            </w:pPr>
            <w:r/>
            <w:r>
              <w:rPr>
                <w:rFonts w:ascii="Times New Roman" w:hAnsi="Times New Roman"/>
                <w:b/>
                <w:color w:val="000000"/>
                <w:sz w:val="20"/>
              </w:rPr>
              <w:t>Expected Output</w:t>
            </w:r>
          </w:p>
        </w:tc>
        <w:tc>
          <w:tcPr>
            <w:tcW w:type="dxa" w:w="2448"/>
          </w:tcPr>
          <w:p>
            <w:pPr>
              <w:spacing w:line="240" w:lineRule="auto" w:after="0"/>
            </w:pPr>
            <w:r/>
            <w:r>
              <w:rPr>
                <w:rFonts w:ascii="Times New Roman" w:hAnsi="Times New Roman"/>
                <w:b/>
                <w:color w:val="000000"/>
                <w:sz w:val="20"/>
              </w:rPr>
              <w:t>Actual Output</w:t>
            </w:r>
          </w:p>
        </w:tc>
        <w:tc>
          <w:tcPr>
            <w:tcW w:type="dxa" w:w="1008"/>
          </w:tcPr>
          <w:p>
            <w:pPr>
              <w:spacing w:line="240" w:lineRule="auto" w:after="0"/>
            </w:pPr>
            <w:r/>
            <w:r>
              <w:rPr>
                <w:rFonts w:ascii="Times New Roman" w:hAnsi="Times New Roman"/>
                <w:b/>
                <w:color w:val="000000"/>
                <w:sz w:val="20"/>
              </w:rPr>
              <w:t>Status</w:t>
            </w:r>
          </w:p>
        </w:tc>
      </w:tr>
      <w:tr>
        <w:tc>
          <w:tcPr>
            <w:tcW w:type="dxa" w:w="1008"/>
          </w:tcPr>
          <w:p>
            <w:pPr>
              <w:spacing w:line="240" w:lineRule="auto" w:after="0"/>
            </w:pPr>
            <w:r/>
            <w:r>
              <w:rPr>
                <w:rFonts w:ascii="Times New Roman" w:hAnsi="Times New Roman"/>
                <w:b w:val="0"/>
                <w:color w:val="000000"/>
                <w:sz w:val="20"/>
              </w:rPr>
              <w:t>TC01</w:t>
            </w:r>
          </w:p>
        </w:tc>
        <w:tc>
          <w:tcPr>
            <w:tcW w:type="dxa" w:w="3168"/>
          </w:tcPr>
          <w:p>
            <w:pPr>
              <w:spacing w:line="240" w:lineRule="auto" w:after="0"/>
            </w:pPr>
            <w:r/>
            <w:r>
              <w:rPr>
                <w:rFonts w:ascii="Times New Roman" w:hAnsi="Times New Roman"/>
                <w:b w:val="0"/>
                <w:color w:val="000000"/>
                <w:sz w:val="20"/>
              </w:rPr>
              <w:t>Ingest 10 authentication_failure events (one IP, within 60 s)</w:t>
            </w:r>
          </w:p>
        </w:tc>
        <w:tc>
          <w:tcPr>
            <w:tcW w:type="dxa" w:w="2448"/>
          </w:tcPr>
          <w:p>
            <w:pPr>
              <w:spacing w:line="240" w:lineRule="auto" w:after="0"/>
            </w:pPr>
            <w:r/>
            <w:r>
              <w:rPr>
                <w:rFonts w:ascii="Times New Roman" w:hAnsi="Times New Roman"/>
                <w:b w:val="0"/>
                <w:color w:val="000000"/>
                <w:sz w:val="20"/>
              </w:rPr>
              <w:t>HTTP 201, 10 accepted, 0 rejected</w:t>
            </w:r>
          </w:p>
        </w:tc>
        <w:tc>
          <w:tcPr>
            <w:tcW w:type="dxa" w:w="2448"/>
          </w:tcPr>
          <w:p>
            <w:pPr>
              <w:spacing w:line="240" w:lineRule="auto" w:after="0"/>
            </w:pPr>
            <w:r/>
            <w:r>
              <w:rPr>
                <w:rFonts w:ascii="Times New Roman" w:hAnsi="Times New Roman"/>
                <w:b w:val="0"/>
                <w:color w:val="000000"/>
                <w:sz w:val="20"/>
              </w:rPr>
              <w:t>HTTP 201, accepted=10</w:t>
            </w:r>
          </w:p>
        </w:tc>
        <w:tc>
          <w:tcPr>
            <w:tcW w:type="dxa" w:w="1008"/>
          </w:tcPr>
          <w:p>
            <w:pPr>
              <w:spacing w:line="240" w:lineRule="auto" w:after="0"/>
            </w:pPr>
            <w:r/>
            <w:r>
              <w:rPr>
                <w:rFonts w:ascii="Times New Roman" w:hAnsi="Times New Roman"/>
                <w:b w:val="0"/>
                <w:color w:val="000000"/>
                <w:sz w:val="20"/>
              </w:rPr>
              <w:t>Pass</w:t>
            </w:r>
          </w:p>
        </w:tc>
      </w:tr>
      <w:tr>
        <w:tc>
          <w:tcPr>
            <w:tcW w:type="dxa" w:w="1008"/>
          </w:tcPr>
          <w:p>
            <w:pPr>
              <w:spacing w:line="240" w:lineRule="auto" w:after="0"/>
            </w:pPr>
            <w:r/>
            <w:r>
              <w:rPr>
                <w:rFonts w:ascii="Times New Roman" w:hAnsi="Times New Roman"/>
                <w:b w:val="0"/>
                <w:color w:val="000000"/>
                <w:sz w:val="20"/>
              </w:rPr>
              <w:t>TC02</w:t>
            </w:r>
          </w:p>
        </w:tc>
        <w:tc>
          <w:tcPr>
            <w:tcW w:type="dxa" w:w="3168"/>
          </w:tcPr>
          <w:p>
            <w:pPr>
              <w:spacing w:line="240" w:lineRule="auto" w:after="0"/>
            </w:pPr>
            <w:r/>
            <w:r>
              <w:rPr>
                <w:rFonts w:ascii="Times New Roman" w:hAnsi="Times New Roman"/>
                <w:b w:val="0"/>
                <w:color w:val="000000"/>
                <w:sz w:val="20"/>
              </w:rPr>
              <w:t>Run correlation on the brute-force events</w:t>
            </w:r>
          </w:p>
        </w:tc>
        <w:tc>
          <w:tcPr>
            <w:tcW w:type="dxa" w:w="2448"/>
          </w:tcPr>
          <w:p>
            <w:pPr>
              <w:spacing w:line="240" w:lineRule="auto" w:after="0"/>
            </w:pPr>
            <w:r/>
            <w:r>
              <w:rPr>
                <w:rFonts w:ascii="Times New Roman" w:hAnsi="Times New Roman"/>
                <w:b w:val="0"/>
                <w:color w:val="000000"/>
                <w:sz w:val="20"/>
              </w:rPr>
              <w:t>One AUTH-001 (high) alert created</w:t>
            </w:r>
          </w:p>
        </w:tc>
        <w:tc>
          <w:tcPr>
            <w:tcW w:type="dxa" w:w="2448"/>
          </w:tcPr>
          <w:p>
            <w:pPr>
              <w:spacing w:line="240" w:lineRule="auto" w:after="0"/>
            </w:pPr>
            <w:r/>
            <w:r>
              <w:rPr>
                <w:rFonts w:ascii="Times New Roman" w:hAnsi="Times New Roman"/>
                <w:b w:val="0"/>
                <w:color w:val="000000"/>
                <w:sz w:val="20"/>
              </w:rPr>
              <w:t>detections=1, created=1 (AUTH-001)</w:t>
            </w:r>
          </w:p>
        </w:tc>
        <w:tc>
          <w:tcPr>
            <w:tcW w:type="dxa" w:w="1008"/>
          </w:tcPr>
          <w:p>
            <w:pPr>
              <w:spacing w:line="240" w:lineRule="auto" w:after="0"/>
            </w:pPr>
            <w:r/>
            <w:r>
              <w:rPr>
                <w:rFonts w:ascii="Times New Roman" w:hAnsi="Times New Roman"/>
                <w:b w:val="0"/>
                <w:color w:val="000000"/>
                <w:sz w:val="20"/>
              </w:rPr>
              <w:t>Pass</w:t>
            </w:r>
          </w:p>
        </w:tc>
      </w:tr>
      <w:tr>
        <w:tc>
          <w:tcPr>
            <w:tcW w:type="dxa" w:w="1008"/>
          </w:tcPr>
          <w:p>
            <w:pPr>
              <w:spacing w:line="240" w:lineRule="auto" w:after="0"/>
            </w:pPr>
            <w:r/>
            <w:r>
              <w:rPr>
                <w:rFonts w:ascii="Times New Roman" w:hAnsi="Times New Roman"/>
                <w:b w:val="0"/>
                <w:color w:val="000000"/>
                <w:sz w:val="20"/>
              </w:rPr>
              <w:t>TC03</w:t>
            </w:r>
          </w:p>
        </w:tc>
        <w:tc>
          <w:tcPr>
            <w:tcW w:type="dxa" w:w="3168"/>
          </w:tcPr>
          <w:p>
            <w:pPr>
              <w:spacing w:line="240" w:lineRule="auto" w:after="0"/>
            </w:pPr>
            <w:r/>
            <w:r>
              <w:rPr>
                <w:rFonts w:ascii="Times New Roman" w:hAnsi="Times New Roman"/>
                <w:b w:val="0"/>
                <w:color w:val="000000"/>
                <w:sz w:val="20"/>
              </w:rPr>
              <w:t>Retrieve alert detail</w:t>
            </w:r>
          </w:p>
        </w:tc>
        <w:tc>
          <w:tcPr>
            <w:tcW w:type="dxa" w:w="2448"/>
          </w:tcPr>
          <w:p>
            <w:pPr>
              <w:spacing w:line="240" w:lineRule="auto" w:after="0"/>
            </w:pPr>
            <w:r/>
            <w:r>
              <w:rPr>
                <w:rFonts w:ascii="Times New Roman" w:hAnsi="Times New Roman"/>
                <w:b w:val="0"/>
                <w:color w:val="000000"/>
                <w:sz w:val="20"/>
              </w:rPr>
              <w:t>Alert links to its 10 evidence events</w:t>
            </w:r>
          </w:p>
        </w:tc>
        <w:tc>
          <w:tcPr>
            <w:tcW w:type="dxa" w:w="2448"/>
          </w:tcPr>
          <w:p>
            <w:pPr>
              <w:spacing w:line="240" w:lineRule="auto" w:after="0"/>
            </w:pPr>
            <w:r/>
            <w:r>
              <w:rPr>
                <w:rFonts w:ascii="Times New Roman" w:hAnsi="Times New Roman"/>
                <w:b w:val="0"/>
                <w:color w:val="000000"/>
                <w:sz w:val="20"/>
              </w:rPr>
              <w:t>10 evidence rows returned</w:t>
            </w:r>
          </w:p>
        </w:tc>
        <w:tc>
          <w:tcPr>
            <w:tcW w:type="dxa" w:w="1008"/>
          </w:tcPr>
          <w:p>
            <w:pPr>
              <w:spacing w:line="240" w:lineRule="auto" w:after="0"/>
            </w:pPr>
            <w:r/>
            <w:r>
              <w:rPr>
                <w:rFonts w:ascii="Times New Roman" w:hAnsi="Times New Roman"/>
                <w:b w:val="0"/>
                <w:color w:val="000000"/>
                <w:sz w:val="20"/>
              </w:rPr>
              <w:t>Pass</w:t>
            </w:r>
          </w:p>
        </w:tc>
      </w:tr>
      <w:tr>
        <w:tc>
          <w:tcPr>
            <w:tcW w:type="dxa" w:w="1008"/>
          </w:tcPr>
          <w:p>
            <w:pPr>
              <w:spacing w:line="240" w:lineRule="auto" w:after="0"/>
            </w:pPr>
            <w:r/>
            <w:r>
              <w:rPr>
                <w:rFonts w:ascii="Times New Roman" w:hAnsi="Times New Roman"/>
                <w:b w:val="0"/>
                <w:color w:val="000000"/>
                <w:sz w:val="20"/>
              </w:rPr>
              <w:t>TC04</w:t>
            </w:r>
          </w:p>
        </w:tc>
        <w:tc>
          <w:tcPr>
            <w:tcW w:type="dxa" w:w="3168"/>
          </w:tcPr>
          <w:p>
            <w:pPr>
              <w:spacing w:line="240" w:lineRule="auto" w:after="0"/>
            </w:pPr>
            <w:r/>
            <w:r>
              <w:rPr>
                <w:rFonts w:ascii="Times New Roman" w:hAnsi="Times New Roman"/>
                <w:b w:val="0"/>
                <w:color w:val="000000"/>
                <w:sz w:val="20"/>
              </w:rPr>
              <w:t>Re-run correlation on unchanged evidence</w:t>
            </w:r>
          </w:p>
        </w:tc>
        <w:tc>
          <w:tcPr>
            <w:tcW w:type="dxa" w:w="2448"/>
          </w:tcPr>
          <w:p>
            <w:pPr>
              <w:spacing w:line="240" w:lineRule="auto" w:after="0"/>
            </w:pPr>
            <w:r/>
            <w:r>
              <w:rPr>
                <w:rFonts w:ascii="Times New Roman" w:hAnsi="Times New Roman"/>
                <w:b w:val="0"/>
                <w:color w:val="000000"/>
                <w:sz w:val="20"/>
              </w:rPr>
              <w:t>No duplicate alert; existing unchanged</w:t>
            </w:r>
          </w:p>
        </w:tc>
        <w:tc>
          <w:tcPr>
            <w:tcW w:type="dxa" w:w="2448"/>
          </w:tcPr>
          <w:p>
            <w:pPr>
              <w:spacing w:line="240" w:lineRule="auto" w:after="0"/>
            </w:pPr>
            <w:r/>
            <w:r>
              <w:rPr>
                <w:rFonts w:ascii="Times New Roman" w:hAnsi="Times New Roman"/>
                <w:b w:val="0"/>
                <w:color w:val="000000"/>
                <w:sz w:val="20"/>
              </w:rPr>
              <w:t>created=0, unchanged alert</w:t>
            </w:r>
          </w:p>
        </w:tc>
        <w:tc>
          <w:tcPr>
            <w:tcW w:type="dxa" w:w="1008"/>
          </w:tcPr>
          <w:p>
            <w:pPr>
              <w:spacing w:line="240" w:lineRule="auto" w:after="0"/>
            </w:pPr>
            <w:r/>
            <w:r>
              <w:rPr>
                <w:rFonts w:ascii="Times New Roman" w:hAnsi="Times New Roman"/>
                <w:b w:val="0"/>
                <w:color w:val="000000"/>
                <w:sz w:val="20"/>
              </w:rPr>
              <w:t>Pass</w:t>
            </w:r>
          </w:p>
        </w:tc>
      </w:tr>
      <w:tr>
        <w:tc>
          <w:tcPr>
            <w:tcW w:type="dxa" w:w="1008"/>
          </w:tcPr>
          <w:p>
            <w:pPr>
              <w:spacing w:line="240" w:lineRule="auto" w:after="0"/>
            </w:pPr>
            <w:r/>
            <w:r>
              <w:rPr>
                <w:rFonts w:ascii="Times New Roman" w:hAnsi="Times New Roman"/>
                <w:b w:val="0"/>
                <w:color w:val="000000"/>
                <w:sz w:val="20"/>
              </w:rPr>
              <w:t>TC05</w:t>
            </w:r>
          </w:p>
        </w:tc>
        <w:tc>
          <w:tcPr>
            <w:tcW w:type="dxa" w:w="3168"/>
          </w:tcPr>
          <w:p>
            <w:pPr>
              <w:spacing w:line="240" w:lineRule="auto" w:after="0"/>
            </w:pPr>
            <w:r/>
            <w:r>
              <w:rPr>
                <w:rFonts w:ascii="Times New Roman" w:hAnsi="Times New Roman"/>
                <w:b w:val="0"/>
                <w:color w:val="000000"/>
                <w:sz w:val="20"/>
              </w:rPr>
              <w:t>PATCH an alert with an invalid status</w:t>
            </w:r>
          </w:p>
        </w:tc>
        <w:tc>
          <w:tcPr>
            <w:tcW w:type="dxa" w:w="2448"/>
          </w:tcPr>
          <w:p>
            <w:pPr>
              <w:spacing w:line="240" w:lineRule="auto" w:after="0"/>
            </w:pPr>
            <w:r/>
            <w:r>
              <w:rPr>
                <w:rFonts w:ascii="Times New Roman" w:hAnsi="Times New Roman"/>
                <w:b w:val="0"/>
                <w:color w:val="000000"/>
                <w:sz w:val="20"/>
              </w:rPr>
              <w:t>Rejected (HTTP 422)</w:t>
            </w:r>
          </w:p>
        </w:tc>
        <w:tc>
          <w:tcPr>
            <w:tcW w:type="dxa" w:w="2448"/>
          </w:tcPr>
          <w:p>
            <w:pPr>
              <w:spacing w:line="240" w:lineRule="auto" w:after="0"/>
            </w:pPr>
            <w:r/>
            <w:r>
              <w:rPr>
                <w:rFonts w:ascii="Times New Roman" w:hAnsi="Times New Roman"/>
                <w:b w:val="0"/>
                <w:color w:val="000000"/>
                <w:sz w:val="20"/>
              </w:rPr>
              <w:t>HTTP 422 enum error</w:t>
            </w:r>
          </w:p>
        </w:tc>
        <w:tc>
          <w:tcPr>
            <w:tcW w:type="dxa" w:w="1008"/>
          </w:tcPr>
          <w:p>
            <w:pPr>
              <w:spacing w:line="240" w:lineRule="auto" w:after="0"/>
            </w:pPr>
            <w:r/>
            <w:r>
              <w:rPr>
                <w:rFonts w:ascii="Times New Roman" w:hAnsi="Times New Roman"/>
                <w:b w:val="0"/>
                <w:color w:val="000000"/>
                <w:sz w:val="20"/>
              </w:rPr>
              <w:t>Pass</w:t>
            </w:r>
          </w:p>
        </w:tc>
      </w:tr>
      <w:tr>
        <w:tc>
          <w:tcPr>
            <w:tcW w:type="dxa" w:w="1008"/>
          </w:tcPr>
          <w:p>
            <w:pPr>
              <w:spacing w:line="240" w:lineRule="auto" w:after="0"/>
            </w:pPr>
            <w:r/>
            <w:r>
              <w:rPr>
                <w:rFonts w:ascii="Times New Roman" w:hAnsi="Times New Roman"/>
                <w:b w:val="0"/>
                <w:color w:val="000000"/>
                <w:sz w:val="20"/>
              </w:rPr>
              <w:t>TC06</w:t>
            </w:r>
          </w:p>
        </w:tc>
        <w:tc>
          <w:tcPr>
            <w:tcW w:type="dxa" w:w="3168"/>
          </w:tcPr>
          <w:p>
            <w:pPr>
              <w:spacing w:line="240" w:lineRule="auto" w:after="0"/>
            </w:pPr>
            <w:r/>
            <w:r>
              <w:rPr>
                <w:rFonts w:ascii="Times New Roman" w:hAnsi="Times New Roman"/>
                <w:b w:val="0"/>
                <w:color w:val="000000"/>
                <w:sz w:val="20"/>
              </w:rPr>
              <w:t>Ingest an event missing its timestamp</w:t>
            </w:r>
          </w:p>
        </w:tc>
        <w:tc>
          <w:tcPr>
            <w:tcW w:type="dxa" w:w="2448"/>
          </w:tcPr>
          <w:p>
            <w:pPr>
              <w:spacing w:line="240" w:lineRule="auto" w:after="0"/>
            </w:pPr>
            <w:r/>
            <w:r>
              <w:rPr>
                <w:rFonts w:ascii="Times New Roman" w:hAnsi="Times New Roman"/>
                <w:b w:val="0"/>
                <w:color w:val="000000"/>
                <w:sz w:val="20"/>
              </w:rPr>
              <w:t>Rejected with field error (HTTP 400)</w:t>
            </w:r>
          </w:p>
        </w:tc>
        <w:tc>
          <w:tcPr>
            <w:tcW w:type="dxa" w:w="2448"/>
          </w:tcPr>
          <w:p>
            <w:pPr>
              <w:spacing w:line="240" w:lineRule="auto" w:after="0"/>
            </w:pPr>
            <w:r/>
            <w:r>
              <w:rPr>
                <w:rFonts w:ascii="Times New Roman" w:hAnsi="Times New Roman"/>
                <w:b w:val="0"/>
                <w:color w:val="000000"/>
                <w:sz w:val="20"/>
              </w:rPr>
              <w:t>HTTP 400, field 'timestamp'</w:t>
            </w:r>
          </w:p>
        </w:tc>
        <w:tc>
          <w:tcPr>
            <w:tcW w:type="dxa" w:w="1008"/>
          </w:tcPr>
          <w:p>
            <w:pPr>
              <w:spacing w:line="240" w:lineRule="auto" w:after="0"/>
            </w:pPr>
            <w:r/>
            <w:r>
              <w:rPr>
                <w:rFonts w:ascii="Times New Roman" w:hAnsi="Times New Roman"/>
                <w:b w:val="0"/>
                <w:color w:val="000000"/>
                <w:sz w:val="20"/>
              </w:rPr>
              <w:t>Pass</w:t>
            </w:r>
          </w:p>
        </w:tc>
      </w:tr>
      <w:tr>
        <w:tc>
          <w:tcPr>
            <w:tcW w:type="dxa" w:w="1008"/>
          </w:tcPr>
          <w:p>
            <w:pPr>
              <w:spacing w:line="240" w:lineRule="auto" w:after="0"/>
            </w:pPr>
            <w:r/>
            <w:r>
              <w:rPr>
                <w:rFonts w:ascii="Times New Roman" w:hAnsi="Times New Roman"/>
                <w:b w:val="0"/>
                <w:color w:val="000000"/>
                <w:sz w:val="20"/>
              </w:rPr>
              <w:t>TC07</w:t>
            </w:r>
          </w:p>
        </w:tc>
        <w:tc>
          <w:tcPr>
            <w:tcW w:type="dxa" w:w="3168"/>
          </w:tcPr>
          <w:p>
            <w:pPr>
              <w:spacing w:line="240" w:lineRule="auto" w:after="0"/>
            </w:pPr>
            <w:r/>
            <w:r>
              <w:rPr>
                <w:rFonts w:ascii="Times New Roman" w:hAnsi="Times New Roman"/>
                <w:b w:val="0"/>
                <w:color w:val="000000"/>
                <w:sz w:val="20"/>
              </w:rPr>
              <w:t>Health check with database unavailable</w:t>
            </w:r>
          </w:p>
        </w:tc>
        <w:tc>
          <w:tcPr>
            <w:tcW w:type="dxa" w:w="2448"/>
          </w:tcPr>
          <w:p>
            <w:pPr>
              <w:spacing w:line="240" w:lineRule="auto" w:after="0"/>
            </w:pPr>
            <w:r/>
            <w:r>
              <w:rPr>
                <w:rFonts w:ascii="Times New Roman" w:hAnsi="Times New Roman"/>
                <w:b w:val="0"/>
                <w:color w:val="000000"/>
                <w:sz w:val="20"/>
              </w:rPr>
              <w:t>HTTP 503, database 'unavailable'</w:t>
            </w:r>
          </w:p>
        </w:tc>
        <w:tc>
          <w:tcPr>
            <w:tcW w:type="dxa" w:w="2448"/>
          </w:tcPr>
          <w:p>
            <w:pPr>
              <w:spacing w:line="240" w:lineRule="auto" w:after="0"/>
            </w:pPr>
            <w:r/>
            <w:r>
              <w:rPr>
                <w:rFonts w:ascii="Times New Roman" w:hAnsi="Times New Roman"/>
                <w:b w:val="0"/>
                <w:color w:val="000000"/>
                <w:sz w:val="20"/>
              </w:rPr>
              <w:t>HTTP 503, status 'degraded'</w:t>
            </w:r>
          </w:p>
        </w:tc>
        <w:tc>
          <w:tcPr>
            <w:tcW w:type="dxa" w:w="1008"/>
          </w:tcPr>
          <w:p>
            <w:pPr>
              <w:spacing w:line="240" w:lineRule="auto" w:after="0"/>
            </w:pPr>
            <w:r/>
            <w:r>
              <w:rPr>
                <w:rFonts w:ascii="Times New Roman" w:hAnsi="Times New Roman"/>
                <w:b w:val="0"/>
                <w:color w:val="000000"/>
                <w:sz w:val="20"/>
              </w:rPr>
              <w:t>Pass</w:t>
            </w:r>
          </w:p>
        </w:tc>
      </w:tr>
    </w:tbl>
    <w:p>
      <w:pPr>
        <w:spacing w:after="120" w:line="360" w:lineRule="auto"/>
        <w:jc w:val="both"/>
      </w:pPr>
    </w:p>
    <w:p>
      <w:pPr>
        <w:spacing w:after="120" w:line="360" w:lineRule="auto"/>
        <w:jc w:val="both"/>
      </w:pPr>
      <w:r>
        <w:rPr>
          <w:rFonts w:ascii="Times New Roman" w:hAnsi="Times New Roman"/>
          <w:b w:val="0"/>
          <w:i w:val="0"/>
          <w:color w:val="000000"/>
          <w:sz w:val="24"/>
        </w:rPr>
        <w:t>The complete backend suite reports 70 passing tests. A single correlation pass is bounded to at most 100,000 events to keep evaluation time predictable, and the Correlation Engine view reports per-run latency in milliseconds. The frontend production build (type-check plus Vite bundle) completes successfully. Figures 5.1-5.3 show representative dashboard output captured during an end-to-end run.</w:t>
      </w:r>
    </w:p>
    <w:p>
      <w:pPr>
        <w:jc w:val="center"/>
      </w:pPr>
      <w:r>
        <w:drawing>
          <wp:inline xmlns:a="http://schemas.openxmlformats.org/drawingml/2006/main" xmlns:pic="http://schemas.openxmlformats.org/drawingml/2006/picture">
            <wp:extent cx="5303520" cy="3513679"/>
            <wp:docPr id="2" name="Picture 2"/>
            <wp:cNvGraphicFramePr>
              <a:graphicFrameLocks noChangeAspect="1"/>
            </wp:cNvGraphicFramePr>
            <a:graphic>
              <a:graphicData uri="http://schemas.openxmlformats.org/drawingml/2006/picture">
                <pic:pic>
                  <pic:nvPicPr>
                    <pic:cNvPr id="0" name="01-analytics.png"/>
                    <pic:cNvPicPr/>
                  </pic:nvPicPr>
                  <pic:blipFill>
                    <a:blip r:embed="rId10"/>
                    <a:stretch>
                      <a:fillRect/>
                    </a:stretch>
                  </pic:blipFill>
                  <pic:spPr>
                    <a:xfrm>
                      <a:off x="0" y="0"/>
                      <a:ext cx="5303520" cy="3513679"/>
                    </a:xfrm>
                    <a:prstGeom prst="rect"/>
                  </pic:spPr>
                </pic:pic>
              </a:graphicData>
            </a:graphic>
          </wp:inline>
        </w:drawing>
      </w:r>
    </w:p>
    <w:p>
      <w:pPr>
        <w:spacing w:after="200" w:line="360" w:lineRule="auto"/>
        <w:jc w:val="center"/>
      </w:pPr>
      <w:r>
        <w:rPr>
          <w:rFonts w:ascii="Times New Roman" w:hAnsi="Times New Roman"/>
          <w:b w:val="0"/>
          <w:i/>
          <w:color w:val="000000"/>
          <w:sz w:val="22"/>
        </w:rPr>
        <w:t>Figure 5.1: Security analytics - alerts by investigation status and events by provenance.</w:t>
      </w:r>
    </w:p>
    <w:p>
      <w:pPr>
        <w:jc w:val="center"/>
      </w:pPr>
      <w:r>
        <w:drawing>
          <wp:inline xmlns:a="http://schemas.openxmlformats.org/drawingml/2006/main" xmlns:pic="http://schemas.openxmlformats.org/drawingml/2006/picture">
            <wp:extent cx="5303520" cy="4356186"/>
            <wp:docPr id="3" name="Picture 3"/>
            <wp:cNvGraphicFramePr>
              <a:graphicFrameLocks noChangeAspect="1"/>
            </wp:cNvGraphicFramePr>
            <a:graphic>
              <a:graphicData uri="http://schemas.openxmlformats.org/drawingml/2006/picture">
                <pic:pic>
                  <pic:nvPicPr>
                    <pic:cNvPr id="0" name="02-timeline.png"/>
                    <pic:cNvPicPr/>
                  </pic:nvPicPr>
                  <pic:blipFill>
                    <a:blip r:embed="rId11"/>
                    <a:stretch>
                      <a:fillRect/>
                    </a:stretch>
                  </pic:blipFill>
                  <pic:spPr>
                    <a:xfrm>
                      <a:off x="0" y="0"/>
                      <a:ext cx="5303520" cy="4356186"/>
                    </a:xfrm>
                    <a:prstGeom prst="rect"/>
                  </pic:spPr>
                </pic:pic>
              </a:graphicData>
            </a:graphic>
          </wp:inline>
        </w:drawing>
      </w:r>
    </w:p>
    <w:p>
      <w:pPr>
        <w:spacing w:after="200" w:line="360" w:lineRule="auto"/>
        <w:jc w:val="center"/>
      </w:pPr>
      <w:r>
        <w:rPr>
          <w:rFonts w:ascii="Times New Roman" w:hAnsi="Times New Roman"/>
          <w:b w:val="0"/>
          <w:i/>
          <w:color w:val="000000"/>
          <w:sz w:val="22"/>
        </w:rPr>
        <w:t>Figure 5.2: Alert evidence timeline linking an incident to its triggering events.</w:t>
      </w:r>
    </w:p>
    <w:p>
      <w:pPr>
        <w:jc w:val="center"/>
      </w:pPr>
      <w:r>
        <w:drawing>
          <wp:inline xmlns:a="http://schemas.openxmlformats.org/drawingml/2006/main" xmlns:pic="http://schemas.openxmlformats.org/drawingml/2006/picture">
            <wp:extent cx="5303520" cy="4356186"/>
            <wp:docPr id="4" name="Picture 4"/>
            <wp:cNvGraphicFramePr>
              <a:graphicFrameLocks noChangeAspect="1"/>
            </wp:cNvGraphicFramePr>
            <a:graphic>
              <a:graphicData uri="http://schemas.openxmlformats.org/drawingml/2006/picture">
                <pic:pic>
                  <pic:nvPicPr>
                    <pic:cNvPr id="0" name="03-status.png"/>
                    <pic:cNvPicPr/>
                  </pic:nvPicPr>
                  <pic:blipFill>
                    <a:blip r:embed="rId12"/>
                    <a:stretch>
                      <a:fillRect/>
                    </a:stretch>
                  </pic:blipFill>
                  <pic:spPr>
                    <a:xfrm>
                      <a:off x="0" y="0"/>
                      <a:ext cx="5303520" cy="4356186"/>
                    </a:xfrm>
                    <a:prstGeom prst="rect"/>
                  </pic:spPr>
                </pic:pic>
              </a:graphicData>
            </a:graphic>
          </wp:inline>
        </w:drawing>
      </w:r>
    </w:p>
    <w:p>
      <w:pPr>
        <w:spacing w:after="200" w:line="360" w:lineRule="auto"/>
        <w:jc w:val="center"/>
      </w:pPr>
      <w:r>
        <w:rPr>
          <w:rFonts w:ascii="Times New Roman" w:hAnsi="Times New Roman"/>
          <w:b w:val="0"/>
          <w:i/>
          <w:color w:val="000000"/>
          <w:sz w:val="22"/>
        </w:rPr>
        <w:t>Figure 5.3: Investigation status update, confirmed and persisted by the backend.</w:t>
      </w:r>
    </w:p>
    <w:p>
      <w:pPr>
        <w:spacing w:after="120" w:line="360" w:lineRule="auto"/>
        <w:jc w:val="both"/>
      </w:pPr>
      <w:r>
        <w:rPr>
          <w:rFonts w:ascii="Times New Roman" w:hAnsi="Times New Roman"/>
          <w:b w:val="0"/>
          <w:i w:val="0"/>
          <w:color w:val="000000"/>
          <w:sz w:val="24"/>
        </w:rPr>
        <w:t>Security analysis. Against the modelled attacks, the engine deterministically detects each pattern and attaches the exact evidence, so a detection can always be justified. Alert integrity is protected by SHA-256 fingerprinting, which yields a stable de-duplication key and preserves an analyst's status across re-runs (idempotent upsert). At the input layer, all fields are validated, batch and body sizes are bounded, duplicates are rejected by event UID, database access is through a parameterised ORM (mitigating SQL injection), and untrusted event fields are rendered as text in the UI (mitigating cross-site scripting). Error responses are generic, avoiding stack-trace disclosure, and the health endpoint reports a database outage honestly as HTTP 503. The principal limitation is that the API currently has no authentication or authorization; CORS restricts browser origins only and is not a substitute for authentication. The system must therefore be run as a controlled, access-restricted demonstration and not exposed publicly until an authentication layer is added.</w:t>
      </w:r>
    </w:p>
    <w:p>
      <w:pPr>
        <w:spacing w:after="120" w:line="360" w:lineRule="auto"/>
        <w:jc w:val="left"/>
      </w:pPr>
      <w:r>
        <w:rPr>
          <w:rFonts w:ascii="Times New Roman" w:hAnsi="Times New Roman"/>
          <w:b/>
          <w:i w:val="0"/>
          <w:color w:val="000000"/>
          <w:sz w:val="28"/>
        </w:rPr>
        <w:t>6. Conclusion and Future Scope</w:t>
      </w:r>
    </w:p>
    <w:p>
      <w:pPr>
        <w:spacing w:after="120" w:line="360" w:lineRule="auto"/>
        <w:jc w:val="both"/>
      </w:pPr>
      <w:r>
        <w:rPr>
          <w:rFonts w:ascii="Times New Roman" w:hAnsi="Times New Roman"/>
          <w:b w:val="0"/>
          <w:i w:val="0"/>
          <w:color w:val="000000"/>
          <w:sz w:val="24"/>
        </w:rPr>
        <w:t>All four objectives were met: a deterministic ingestion-to-alert pipeline was built; five explicit correlation rules were implemented with explainable, evidence-linked alerts; alert integrity and de-duplication were achieved with SHA-256 fingerprinting and idempotent upserts; and an investigation and analytics dashboard was delivered and validated by 70 passing tests. The main limitations are the absence of authentication, the single-writer nature of SQLite, and the lack of automated backups. Future work includes adding authentication and authorization (or platform-level access control) before any public deployment, migrating to a client/server database such as PostgreSQL for horizontal scale, adding data retention and automated backups, and optionally complementing the deterministic rules with anomaly-based detection.</w:t>
      </w:r>
    </w:p>
    <w:p>
      <w:pPr>
        <w:spacing w:after="120" w:line="360" w:lineRule="auto"/>
        <w:jc w:val="both"/>
      </w:pPr>
      <w:r>
        <w:rPr>
          <w:rFonts w:ascii="Times New Roman" w:hAnsi="Times New Roman"/>
          <w:b w:val="0"/>
          <w:i w:val="0"/>
          <w:color w:val="000000"/>
          <w:sz w:val="24"/>
        </w:rPr>
        <w:t>GitHub Repository Link: [https://github.com/your-username/sentinelx-siem]</w:t>
      </w:r>
    </w:p>
    <w:p>
      <w:pPr>
        <w:spacing w:after="120" w:line="360" w:lineRule="auto"/>
        <w:jc w:val="left"/>
      </w:pPr>
      <w:r>
        <w:rPr>
          <w:rFonts w:ascii="Times New Roman" w:hAnsi="Times New Roman"/>
          <w:b/>
          <w:i w:val="0"/>
          <w:color w:val="000000"/>
          <w:sz w:val="28"/>
        </w:rPr>
        <w:t>References</w:t>
      </w:r>
    </w:p>
    <w:p>
      <w:pPr>
        <w:spacing w:after="80" w:line="360" w:lineRule="auto"/>
        <w:jc w:val="both"/>
      </w:pPr>
      <w:r>
        <w:rPr>
          <w:rFonts w:ascii="Times New Roman" w:hAnsi="Times New Roman"/>
          <w:b w:val="0"/>
          <w:i w:val="0"/>
          <w:color w:val="000000"/>
          <w:sz w:val="24"/>
        </w:rPr>
        <w:t>[1] K. Kent and M. Souppaya, "Guide to Computer Security Log Management," NIST Special Publication 800-92, Sep. 2006.</w:t>
      </w:r>
    </w:p>
    <w:p>
      <w:pPr>
        <w:spacing w:after="80" w:line="360" w:lineRule="auto"/>
        <w:jc w:val="both"/>
      </w:pPr>
      <w:r>
        <w:rPr>
          <w:rFonts w:ascii="Times New Roman" w:hAnsi="Times New Roman"/>
          <w:b w:val="0"/>
          <w:i w:val="0"/>
          <w:color w:val="000000"/>
          <w:sz w:val="24"/>
        </w:rPr>
        <w:t>[2] National Institute of Standards and Technology, "Secure Hash Standard (SHS)," FIPS PUB 180-4, Aug. 2015.</w:t>
      </w:r>
    </w:p>
    <w:p>
      <w:pPr>
        <w:spacing w:after="80" w:line="360" w:lineRule="auto"/>
        <w:jc w:val="both"/>
      </w:pPr>
      <w:r>
        <w:rPr>
          <w:rFonts w:ascii="Times New Roman" w:hAnsi="Times New Roman"/>
          <w:b w:val="0"/>
          <w:i w:val="0"/>
          <w:color w:val="000000"/>
          <w:sz w:val="24"/>
        </w:rPr>
        <w:t>[3] The MITRE Corporation, "MITRE ATT&amp;CK Framework." [Online]. Available: https://attack.mitre.org</w:t>
      </w:r>
    </w:p>
    <w:p>
      <w:pPr>
        <w:spacing w:after="80" w:line="360" w:lineRule="auto"/>
        <w:jc w:val="both"/>
      </w:pPr>
      <w:r>
        <w:rPr>
          <w:rFonts w:ascii="Times New Roman" w:hAnsi="Times New Roman"/>
          <w:b w:val="0"/>
          <w:i w:val="0"/>
          <w:color w:val="000000"/>
          <w:sz w:val="24"/>
        </w:rPr>
        <w:t>[4] W. Stallings, Cryptography and Network Security: Principles and Practice, 8th ed. Hoboken, NJ, USA: Pearson, 2023.</w:t>
      </w:r>
    </w:p>
    <w:p>
      <w:pPr>
        <w:spacing w:after="80" w:line="360" w:lineRule="auto"/>
        <w:jc w:val="both"/>
      </w:pPr>
      <w:r>
        <w:rPr>
          <w:rFonts w:ascii="Times New Roman" w:hAnsi="Times New Roman"/>
          <w:b w:val="0"/>
          <w:i w:val="0"/>
          <w:color w:val="000000"/>
          <w:sz w:val="24"/>
        </w:rPr>
        <w:t>[5] S. Bhatt, P. K. Manadhata, and L. Zomlot, "The Operational Role of Security Information and Event Management Systems," IEEE Security &amp; Privacy, vol. 12, no. 5, pp. 35-41, 2014.</w:t>
      </w:r>
    </w:p>
    <w:p>
      <w:pPr>
        <w:spacing w:after="80" w:line="360" w:lineRule="auto"/>
        <w:jc w:val="both"/>
      </w:pPr>
      <w:r>
        <w:rPr>
          <w:rFonts w:ascii="Times New Roman" w:hAnsi="Times New Roman"/>
          <w:b w:val="0"/>
          <w:i w:val="0"/>
          <w:color w:val="000000"/>
          <w:sz w:val="24"/>
        </w:rPr>
        <w:t>[6] J. Arkko, M. Cotton, and L. Vegoda, "IPv4 Address Blocks Reserved for Documentation," RFC 5737, IETF, Jan. 2010.</w:t>
      </w:r>
    </w:p>
    <w:sectPr w:rsidR="00FC693F" w:rsidRPr="0006063C" w:rsidSect="00034616">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