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0F172A"/>
          <w:sz w:val="36"/>
        </w:rPr>
        <w:t>GHANSHYAM KUMAR SINGH</w:t>
      </w:r>
    </w:p>
    <w:p>
      <w:pPr>
        <w:spacing w:before="0" w:after="60"/>
        <w:jc w:val="center"/>
      </w:pPr>
      <w:r>
        <w:rPr>
          <w:b/>
          <w:color w:val="1D4ED8"/>
          <w:sz w:val="20"/>
        </w:rPr>
        <w:t>Product Manager | Consumer Growth, Monetization &amp; 0-to-1 | AI Products</w:t>
      </w:r>
    </w:p>
    <w:p>
      <w:pPr>
        <w:spacing w:before="0" w:after="40" w:line="288" w:lineRule="auto"/>
        <w:jc w:val="center"/>
      </w:pPr>
      <w:r>
        <w:rPr>
          <w:color w:val="475569"/>
          <w:sz w:val="18"/>
        </w:rPr>
        <w:t>Gurugram, India  •  +91 8804041515  •  ghanshyamrock05@gmail.com</w:t>
        <w:br/>
      </w:r>
      <w:r>
        <w:rPr>
          <w:color w:val="1D4ED8"/>
          <w:sz w:val="18"/>
        </w:rPr>
        <w:t>LinkedIn: linkedin.com/in/ghanshyam-kumar-singh-8730a120a  •  Portfolio: ghanshyam-ks.github.io</w:t>
      </w:r>
    </w:p>
    <w:p>
      <w:pPr>
        <w:keepNext/>
        <w:spacing w:before="80" w:after="40"/>
        <w:pBdr>
          <w:bottom w:val="single" w:sz="12" w:space="2" w:color="0F172A"/>
        </w:pBdr>
      </w:pPr>
      <w:r>
        <w:rPr>
          <w:b/>
          <w:color w:val="0F172A"/>
          <w:sz w:val="21"/>
        </w:rPr>
        <w:t>SUMMARY</w:t>
      </w:r>
    </w:p>
    <w:p>
      <w:pPr>
        <w:spacing w:before="40" w:after="60" w:line="283" w:lineRule="auto"/>
      </w:pPr>
      <w:r>
        <w:rPr>
          <w:b w:val="0"/>
          <w:color w:val="111827"/>
          <w:sz w:val="19"/>
        </w:rPr>
        <w:t xml:space="preserve">Product Manager with </w:t>
      </w:r>
      <w:r>
        <w:rPr>
          <w:b/>
          <w:color w:val="0F172A"/>
          <w:sz w:val="19"/>
        </w:rPr>
        <w:t>4+ years of experience</w:t>
      </w:r>
      <w:r>
        <w:rPr>
          <w:b w:val="0"/>
          <w:color w:val="111827"/>
          <w:sz w:val="19"/>
        </w:rPr>
        <w:t xml:space="preserve"> building and scaling consumer, B2B SaaS, and GenAI products across growth, monetization, retention, and 0-to-1 product development. Worked on platforms serving </w:t>
      </w:r>
      <w:r>
        <w:rPr>
          <w:b/>
          <w:color w:val="0F172A"/>
          <w:sz w:val="19"/>
        </w:rPr>
        <w:t>50M+ users and 3L+ DAU</w:t>
      </w:r>
      <w:r>
        <w:rPr>
          <w:b w:val="0"/>
          <w:color w:val="111827"/>
          <w:sz w:val="19"/>
        </w:rPr>
        <w:t xml:space="preserve">, driving </w:t>
      </w:r>
      <w:r>
        <w:rPr>
          <w:b/>
          <w:color w:val="0F172A"/>
          <w:sz w:val="19"/>
        </w:rPr>
        <w:t>167% daily revenue growth</w:t>
      </w:r>
      <w:r>
        <w:rPr>
          <w:b w:val="0"/>
          <w:color w:val="111827"/>
          <w:sz w:val="19"/>
        </w:rPr>
        <w:t xml:space="preserve">, </w:t>
      </w:r>
      <w:r>
        <w:rPr>
          <w:b/>
          <w:color w:val="0F172A"/>
          <w:sz w:val="19"/>
        </w:rPr>
        <w:t>75% VIP ARPU growth</w:t>
      </w:r>
      <w:r>
        <w:rPr>
          <w:b w:val="0"/>
          <w:color w:val="111827"/>
          <w:sz w:val="19"/>
        </w:rPr>
        <w:t xml:space="preserve">, and </w:t>
      </w:r>
      <w:r>
        <w:rPr>
          <w:b/>
          <w:color w:val="0F172A"/>
          <w:sz w:val="19"/>
        </w:rPr>
        <w:t>D7 retention from 12% to 25%</w:t>
      </w:r>
      <w:r>
        <w:rPr>
          <w:b w:val="0"/>
          <w:color w:val="111827"/>
          <w:sz w:val="19"/>
        </w:rPr>
        <w:t>. Currently building 0-to-1 GenAI voice and conversational products, owning discovery, prioritization, MVP delivery, monetization, AI evaluation, RAG, prompts, and guardrails.</w:t>
      </w:r>
    </w:p>
    <w:p>
      <w:pPr>
        <w:keepNext/>
        <w:spacing w:before="100" w:after="40"/>
        <w:pBdr>
          <w:bottom w:val="single" w:sz="12" w:space="2" w:color="0F172A"/>
        </w:pBdr>
      </w:pPr>
      <w:r>
        <w:rPr>
          <w:b/>
          <w:color w:val="0F172A"/>
          <w:sz w:val="21"/>
        </w:rPr>
        <w:t>CORE EXPERTISE</w:t>
      </w:r>
    </w:p>
    <w:p>
      <w:pPr>
        <w:pStyle w:val="ListBullet"/>
        <w:spacing w:before="0" w:after="30" w:line="276" w:lineRule="auto"/>
      </w:pPr>
      <w:r>
        <w:rPr>
          <w:b/>
          <w:color w:val="0F172A"/>
          <w:sz w:val="19"/>
        </w:rPr>
        <w:t xml:space="preserve">Product Strategy &amp; Discovery: </w:t>
      </w:r>
      <w:r>
        <w:rPr>
          <w:color w:val="111827"/>
          <w:sz w:val="19"/>
        </w:rPr>
        <w:t>Product Vision, Discovery, Roadmapping, PRDs, RICE, GTM, Lifecycle, OKRs/KPIs</w:t>
      </w:r>
    </w:p>
    <w:p>
      <w:pPr>
        <w:pStyle w:val="ListBullet"/>
        <w:spacing w:before="0" w:after="30" w:line="276" w:lineRule="auto"/>
      </w:pPr>
      <w:r>
        <w:rPr>
          <w:b/>
          <w:color w:val="0F172A"/>
          <w:sz w:val="19"/>
        </w:rPr>
        <w:t xml:space="preserve">Growth &amp; Monetization: </w:t>
      </w:r>
      <w:r>
        <w:rPr>
          <w:color w:val="111827"/>
          <w:sz w:val="19"/>
        </w:rPr>
        <w:t>Experimentation, A/B Testing, Funnels/Cohorts, Retention/LTV, Conversion, ARPU, Pricing, Dynamic Monetization, Loyalty</w:t>
      </w:r>
    </w:p>
    <w:p>
      <w:pPr>
        <w:pStyle w:val="ListBullet"/>
        <w:spacing w:before="0" w:after="30" w:line="276" w:lineRule="auto"/>
      </w:pPr>
      <w:r>
        <w:rPr>
          <w:b/>
          <w:color w:val="0F172A"/>
          <w:sz w:val="19"/>
        </w:rPr>
        <w:t xml:space="preserve">Analytics: </w:t>
      </w:r>
      <w:r>
        <w:rPr>
          <w:color w:val="111827"/>
          <w:sz w:val="19"/>
        </w:rPr>
        <w:t>SQL, Product Analytics, Behavioral Segmentation, Lifecycle Analytics, Experiment Analysis, CleverTap</w:t>
      </w:r>
    </w:p>
    <w:p>
      <w:pPr>
        <w:pStyle w:val="ListBullet"/>
        <w:spacing w:before="0" w:after="30" w:line="276" w:lineRule="auto"/>
      </w:pPr>
      <w:r>
        <w:rPr>
          <w:b/>
          <w:color w:val="0F172A"/>
          <w:sz w:val="19"/>
        </w:rPr>
        <w:t xml:space="preserve">AI Products: </w:t>
      </w:r>
      <w:r>
        <w:rPr>
          <w:color w:val="111827"/>
          <w:sz w:val="19"/>
        </w:rPr>
        <w:t>GenAI Product Design, Conversational AI, Voice AI, Prompt Design, AI Evaluation, Quality Metrics, LLM Guardrails, RAG</w:t>
      </w:r>
    </w:p>
    <w:p>
      <w:pPr>
        <w:pStyle w:val="ListBullet"/>
        <w:spacing w:before="0" w:after="30" w:line="276" w:lineRule="auto"/>
      </w:pPr>
      <w:r>
        <w:rPr>
          <w:b/>
          <w:color w:val="0F172A"/>
          <w:sz w:val="19"/>
        </w:rPr>
        <w:t xml:space="preserve">Technical: </w:t>
      </w:r>
      <w:r>
        <w:rPr>
          <w:color w:val="111827"/>
          <w:sz w:val="19"/>
        </w:rPr>
        <w:t>APIs, SDKs, Android/iOS/Web, Data Pipelines, AI-Assisted Prototyping, Firebase, System Architecture</w:t>
      </w:r>
    </w:p>
    <w:p>
      <w:pPr>
        <w:keepNext/>
        <w:spacing w:before="100" w:after="40"/>
        <w:pBdr>
          <w:bottom w:val="single" w:sz="12" w:space="2" w:color="0F172A"/>
        </w:pBdr>
      </w:pPr>
      <w:r>
        <w:rPr>
          <w:b/>
          <w:color w:val="0F172A"/>
          <w:sz w:val="21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68"/>
        <w:gridCol w:w="3744"/>
      </w:tblGrid>
      <w:tr>
        <w:tc>
          <w:tcPr>
            <w:tcW w:type="dxa" w:w="5256"/>
          </w:tcPr>
          <w:p>
            <w:pPr>
              <w:spacing w:before="60" w:after="20"/>
            </w:pPr>
            <w:r>
              <w:rPr>
                <w:b/>
                <w:color w:val="0F172A"/>
                <w:sz w:val="21"/>
              </w:rPr>
              <w:t>AIVO Technologies Pvt. Ltd.</w:t>
            </w:r>
            <w:r>
              <w:t xml:space="preserve"> – </w:t>
            </w:r>
            <w:r>
              <w:rPr>
                <w:b/>
                <w:i/>
                <w:color w:val="1D4ED8"/>
                <w:sz w:val="20"/>
              </w:rPr>
              <w:t>Product Manager</w:t>
            </w:r>
          </w:p>
        </w:tc>
        <w:tc>
          <w:tcPr>
            <w:tcW w:type="dxa" w:w="5256"/>
          </w:tcPr>
          <w:p>
            <w:pPr>
              <w:spacing w:before="60" w:after="20"/>
              <w:jc w:val="right"/>
            </w:pPr>
            <w:r>
              <w:rPr>
                <w:b/>
                <w:color w:val="475569"/>
                <w:sz w:val="18"/>
              </w:rPr>
              <w:t>May 2026 – Present | Gurugram, India</w:t>
            </w:r>
          </w:p>
        </w:tc>
      </w:tr>
    </w:tbl>
    <w:p>
      <w:pPr>
        <w:keepNext/>
        <w:spacing w:before="60" w:after="20"/>
      </w:pPr>
      <w:r>
        <w:rPr>
          <w:b/>
          <w:color w:val="1E3A8A"/>
          <w:sz w:val="19"/>
        </w:rPr>
        <w:t>MySmartAssistant — GenAI Voice &amp; Productivity Platform | B2C/B2B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Owned </w:t>
      </w:r>
      <w:r>
        <w:rPr>
          <w:b/>
          <w:color w:val="0F172A"/>
          <w:sz w:val="19"/>
        </w:rPr>
        <w:t>0-to-1 product development</w:t>
      </w:r>
      <w:r>
        <w:rPr>
          <w:b w:val="0"/>
          <w:color w:val="111827"/>
          <w:sz w:val="19"/>
        </w:rPr>
        <w:t xml:space="preserve"> across discovery, PRDs, prioritization, MVP, monetization and GTM; led an </w:t>
      </w:r>
      <w:r>
        <w:rPr>
          <w:b/>
          <w:color w:val="0F172A"/>
          <w:sz w:val="19"/>
        </w:rPr>
        <w:t>8-member pod</w:t>
      </w:r>
      <w:r>
        <w:rPr>
          <w:b w:val="0"/>
          <w:color w:val="111827"/>
          <w:sz w:val="19"/>
        </w:rPr>
        <w:t xml:space="preserve"> and validated </w:t>
      </w:r>
      <w:r>
        <w:rPr>
          <w:b/>
          <w:color w:val="0F172A"/>
          <w:sz w:val="19"/>
        </w:rPr>
        <w:t>200+ target users</w:t>
      </w:r>
      <w:r>
        <w:rPr>
          <w:b w:val="0"/>
          <w:color w:val="111827"/>
          <w:sz w:val="19"/>
        </w:rPr>
        <w:t xml:space="preserve">, prioritizing voice over chat based on </w:t>
      </w:r>
      <w:r>
        <w:rPr>
          <w:b/>
          <w:color w:val="0F172A"/>
          <w:sz w:val="19"/>
        </w:rPr>
        <w:t>3× higher WTP</w:t>
      </w:r>
      <w:r>
        <w:rPr>
          <w:b w:val="0"/>
          <w:color w:val="111827"/>
          <w:sz w:val="19"/>
        </w:rPr>
        <w:t xml:space="preserve"> and shipping the MVP in </w:t>
      </w:r>
      <w:r>
        <w:rPr>
          <w:b/>
          <w:color w:val="0F172A"/>
          <w:sz w:val="19"/>
        </w:rPr>
        <w:t>4 weeks</w:t>
      </w:r>
      <w:r>
        <w:rPr>
          <w:b w:val="0"/>
          <w:color w:val="111827"/>
          <w:sz w:val="19"/>
        </w:rPr>
        <w:t>.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Designed tiered SaaS plans and onboarding through A/B testing, driving </w:t>
      </w:r>
      <w:r>
        <w:rPr>
          <w:b/>
          <w:color w:val="0F172A"/>
          <w:sz w:val="19"/>
        </w:rPr>
        <w:t>+15% D1 activation</w:t>
      </w:r>
      <w:r>
        <w:rPr>
          <w:b w:val="0"/>
          <w:color w:val="111827"/>
          <w:sz w:val="19"/>
        </w:rPr>
        <w:t xml:space="preserve"> and first revenue within </w:t>
      </w:r>
      <w:r>
        <w:rPr>
          <w:b/>
          <w:color w:val="0F172A"/>
          <w:sz w:val="19"/>
        </w:rPr>
        <w:t>3 weeks</w:t>
      </w:r>
      <w:r>
        <w:rPr>
          <w:b w:val="0"/>
          <w:color w:val="111827"/>
          <w:sz w:val="19"/>
        </w:rPr>
        <w:t xml:space="preserve">; built autonomous multilingual voice workflows across </w:t>
      </w:r>
      <w:r>
        <w:rPr>
          <w:b/>
          <w:color w:val="0F172A"/>
          <w:sz w:val="19"/>
        </w:rPr>
        <w:t>100+ languages</w:t>
      </w:r>
      <w:r>
        <w:rPr>
          <w:b w:val="0"/>
          <w:color w:val="111827"/>
          <w:sz w:val="19"/>
        </w:rPr>
        <w:t xml:space="preserve">, achieving </w:t>
      </w:r>
      <w:r>
        <w:rPr>
          <w:b/>
          <w:color w:val="0F172A"/>
          <w:sz w:val="19"/>
        </w:rPr>
        <w:t>~92% task-resolution accuracy</w:t>
      </w:r>
      <w:r>
        <w:rPr>
          <w:b w:val="0"/>
          <w:color w:val="111827"/>
          <w:sz w:val="19"/>
        </w:rPr>
        <w:t xml:space="preserve"> through prompt/RAG optimization and AI guardrails.</w:t>
      </w:r>
    </w:p>
    <w:p>
      <w:pPr>
        <w:keepNext/>
        <w:spacing w:before="60" w:after="20"/>
      </w:pPr>
      <w:r>
        <w:rPr>
          <w:b/>
          <w:color w:val="1E3A8A"/>
          <w:sz w:val="19"/>
        </w:rPr>
        <w:t>GrowthTap — In-house Analytics &amp; Engagement Platform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Spearheaded a </w:t>
      </w:r>
      <w:r>
        <w:rPr>
          <w:b/>
          <w:color w:val="0F172A"/>
          <w:sz w:val="19"/>
        </w:rPr>
        <w:t>0-to-1 analytics platform</w:t>
      </w:r>
      <w:r>
        <w:rPr>
          <w:b w:val="0"/>
          <w:color w:val="111827"/>
          <w:sz w:val="19"/>
        </w:rPr>
        <w:t xml:space="preserve"> replacing </w:t>
      </w:r>
      <w:r>
        <w:rPr>
          <w:b/>
          <w:color w:val="0F172A"/>
          <w:sz w:val="19"/>
        </w:rPr>
        <w:t>$50K+/year</w:t>
      </w:r>
      <w:r>
        <w:rPr>
          <w:b w:val="0"/>
          <w:color w:val="111827"/>
          <w:sz w:val="19"/>
        </w:rPr>
        <w:t xml:space="preserve"> in third-party tools, enabling funnels, cohorts, segmentation, trends and omnichannel engagement across Android/iOS/Web.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Defined SDK and event-tracking architecture with automated session tracking and offline event batching, reducing integration time by </w:t>
      </w:r>
      <w:r>
        <w:rPr>
          <w:b/>
          <w:color w:val="0F172A"/>
          <w:sz w:val="19"/>
        </w:rPr>
        <w:t>60%</w:t>
      </w:r>
      <w:r>
        <w:rPr>
          <w:b w:val="0"/>
          <w:color w:val="111827"/>
          <w:sz w:val="19"/>
        </w:rPr>
        <w:t xml:space="preserve">; partnered with Data Engineering on </w:t>
      </w:r>
      <w:r>
        <w:rPr>
          <w:b/>
          <w:color w:val="0F172A"/>
          <w:sz w:val="19"/>
        </w:rPr>
        <w:t>Kafka + ClickHouse</w:t>
      </w:r>
      <w:r>
        <w:rPr>
          <w:b w:val="0"/>
          <w:color w:val="111827"/>
          <w:sz w:val="19"/>
        </w:rPr>
        <w:t xml:space="preserve"> pipelines.</w:t>
      </w:r>
    </w:p>
    <w:p>
      <w:pPr>
        <w:keepNext/>
        <w:spacing w:before="60" w:after="20"/>
      </w:pPr>
      <w:r>
        <w:rPr>
          <w:b/>
          <w:color w:val="1E3A8A"/>
          <w:sz w:val="19"/>
        </w:rPr>
        <w:t>Lavola.ai — AI Companion Platform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Shaped product vision, roadmap, PRDs and MVP for an AI companion with </w:t>
      </w:r>
      <w:r>
        <w:rPr>
          <w:b/>
          <w:color w:val="0F172A"/>
          <w:sz w:val="19"/>
        </w:rPr>
        <w:t>real-time voice calling and multi-persona conversations</w:t>
      </w:r>
      <w:r>
        <w:rPr>
          <w:b w:val="0"/>
          <w:color w:val="111827"/>
          <w:sz w:val="19"/>
        </w:rPr>
        <w:t>, taking the product from ideation to launch with an engineering pod.</w:t>
      </w:r>
    </w:p>
    <w:p>
      <w:pPr>
        <w:pStyle w:val="ListBullet"/>
        <w:spacing w:after="60" w:line="276" w:lineRule="auto"/>
      </w:pPr>
      <w:r>
        <w:rPr>
          <w:b w:val="0"/>
          <w:color w:val="111827"/>
          <w:sz w:val="19"/>
        </w:rPr>
        <w:t xml:space="preserve">Built the supporting marketing web platform using </w:t>
      </w:r>
      <w:r>
        <w:rPr>
          <w:b/>
          <w:color w:val="0F172A"/>
          <w:sz w:val="19"/>
        </w:rPr>
        <w:t>AI-assisted development</w:t>
      </w:r>
      <w:r>
        <w:rPr>
          <w:b w:val="0"/>
          <w:color w:val="111827"/>
          <w:sz w:val="19"/>
        </w:rPr>
        <w:t>, translating product requirements into a launch-ready customer experience.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68"/>
        <w:gridCol w:w="3744"/>
      </w:tblGrid>
      <w:tr>
        <w:tc>
          <w:tcPr>
            <w:tcW w:type="dxa" w:w="5256"/>
          </w:tcPr>
          <w:p>
            <w:pPr>
              <w:spacing w:before="80" w:after="20"/>
            </w:pPr>
            <w:r>
              <w:rPr>
                <w:b/>
                <w:color w:val="0F172A"/>
                <w:sz w:val="21"/>
              </w:rPr>
              <w:t>Witzeal Technologies Pvt. Ltd.</w:t>
            </w:r>
          </w:p>
        </w:tc>
        <w:tc>
          <w:tcPr>
            <w:tcW w:type="dxa" w:w="5256"/>
          </w:tcPr>
          <w:p>
            <w:pPr>
              <w:spacing w:before="80" w:after="20"/>
              <w:jc w:val="right"/>
            </w:pPr>
            <w:r>
              <w:rPr>
                <w:b/>
                <w:color w:val="475569"/>
                <w:sz w:val="18"/>
              </w:rPr>
              <w:t>May 2021 – May 2026 | Gurugram, India</w:t>
            </w:r>
          </w:p>
        </w:tc>
      </w:tr>
    </w:tbl>
    <w:p>
      <w:pPr>
        <w:spacing w:before="20" w:after="40"/>
      </w:pPr>
      <w:r>
        <w:rPr>
          <w:b/>
          <w:color w:val="1D4ED8"/>
          <w:sz w:val="18"/>
        </w:rPr>
        <w:t>Product Intern → Associate Product Manager  |  BigCash &amp; Big Sports (50M+ users | 3L+ DAU)</w:t>
      </w:r>
    </w:p>
    <w:p>
      <w:pPr>
        <w:keepNext/>
        <w:spacing w:before="40" w:after="20"/>
      </w:pPr>
      <w:r>
        <w:rPr>
          <w:b/>
          <w:color w:val="1E3A8A"/>
          <w:sz w:val="19"/>
        </w:rPr>
        <w:t>Revenue &amp; Monetization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Grew Rocket Skill daily revenue </w:t>
      </w:r>
      <w:r>
        <w:rPr>
          <w:b/>
          <w:color w:val="0F172A"/>
          <w:sz w:val="19"/>
        </w:rPr>
        <w:t>167% from ₹3L→₹8L/day</w:t>
      </w:r>
      <w:r>
        <w:rPr>
          <w:b w:val="0"/>
          <w:color w:val="111827"/>
          <w:sz w:val="19"/>
        </w:rPr>
        <w:t xml:space="preserve"> across two quarters, with </w:t>
      </w:r>
      <w:r>
        <w:rPr>
          <w:b/>
          <w:color w:val="0F172A"/>
          <w:sz w:val="19"/>
        </w:rPr>
        <w:t>30K–40K DAU</w:t>
      </w:r>
      <w:r>
        <w:rPr>
          <w:b w:val="0"/>
          <w:color w:val="111827"/>
          <w:sz w:val="19"/>
        </w:rPr>
        <w:t xml:space="preserve">, through 10+ A/B tests across entry fees, prize structures and user segmentation; drove </w:t>
      </w:r>
      <w:r>
        <w:rPr>
          <w:b/>
          <w:color w:val="0F172A"/>
          <w:sz w:val="19"/>
        </w:rPr>
        <w:t>+10% WoW GMV</w:t>
      </w:r>
      <w:r>
        <w:rPr>
          <w:b w:val="0"/>
          <w:color w:val="111827"/>
          <w:sz w:val="19"/>
        </w:rPr>
        <w:t xml:space="preserve"> and </w:t>
      </w:r>
      <w:r>
        <w:rPr>
          <w:b/>
          <w:color w:val="0F172A"/>
          <w:sz w:val="19"/>
        </w:rPr>
        <w:t>+12% purchase conversion</w:t>
      </w:r>
      <w:r>
        <w:rPr>
          <w:b w:val="0"/>
          <w:color w:val="111827"/>
          <w:sz w:val="19"/>
        </w:rPr>
        <w:t>.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Increased VIP active users </w:t>
      </w:r>
      <w:r>
        <w:rPr>
          <w:b/>
          <w:color w:val="0F172A"/>
          <w:sz w:val="19"/>
        </w:rPr>
        <w:t>45K→65K (+44%)</w:t>
      </w:r>
      <w:r>
        <w:rPr>
          <w:b w:val="0"/>
          <w:color w:val="111827"/>
          <w:sz w:val="19"/>
        </w:rPr>
        <w:t xml:space="preserve"> and VIP ARPU </w:t>
      </w:r>
      <w:r>
        <w:rPr>
          <w:b/>
          <w:color w:val="0F172A"/>
          <w:sz w:val="19"/>
        </w:rPr>
        <w:t>₹8K→₹14K (+75%)</w:t>
      </w:r>
      <w:r>
        <w:rPr>
          <w:b w:val="0"/>
          <w:color w:val="111827"/>
          <w:sz w:val="19"/>
        </w:rPr>
        <w:t xml:space="preserve"> through dynamic 3-tier loyalty, while reducing bonus expenditure </w:t>
      </w:r>
      <w:r>
        <w:rPr>
          <w:b/>
          <w:color w:val="0F172A"/>
          <w:sz w:val="19"/>
        </w:rPr>
        <w:t>20%</w:t>
      </w:r>
      <w:r>
        <w:rPr>
          <w:b w:val="0"/>
          <w:color w:val="111827"/>
          <w:sz w:val="19"/>
        </w:rPr>
        <w:t xml:space="preserve"> through incentive ROI optimization.</w:t>
      </w:r>
    </w:p>
    <w:p>
      <w:pPr>
        <w:keepNext/>
        <w:spacing w:before="40" w:after="20"/>
      </w:pPr>
      <w:r>
        <w:rPr>
          <w:b/>
          <w:color w:val="1E3A8A"/>
          <w:sz w:val="19"/>
        </w:rPr>
        <w:t>Retention &amp; Lifecycle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Improved D7 retention </w:t>
      </w:r>
      <w:r>
        <w:rPr>
          <w:b/>
          <w:color w:val="0F172A"/>
          <w:sz w:val="19"/>
        </w:rPr>
        <w:t>12%→25%</w:t>
      </w:r>
      <w:r>
        <w:rPr>
          <w:b w:val="0"/>
          <w:color w:val="111827"/>
          <w:sz w:val="19"/>
        </w:rPr>
        <w:t xml:space="preserve"> and D7 active users </w:t>
      </w:r>
      <w:r>
        <w:rPr>
          <w:b/>
          <w:color w:val="0F172A"/>
          <w:sz w:val="19"/>
        </w:rPr>
        <w:t>22%→48%</w:t>
      </w:r>
      <w:r>
        <w:rPr>
          <w:b w:val="0"/>
          <w:color w:val="111827"/>
          <w:sz w:val="19"/>
        </w:rPr>
        <w:t xml:space="preserve"> through onboarding/friction analysis, personalized engagement and IPL-led events; increased games/user and ATV by </w:t>
      </w:r>
      <w:r>
        <w:rPr>
          <w:b/>
          <w:color w:val="0F172A"/>
          <w:sz w:val="19"/>
        </w:rPr>
        <w:t>20% each</w:t>
      </w:r>
      <w:r>
        <w:rPr>
          <w:b w:val="0"/>
          <w:color w:val="111827"/>
          <w:sz w:val="19"/>
        </w:rPr>
        <w:t>.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Owned lifecycle engagement for </w:t>
      </w:r>
      <w:r>
        <w:rPr>
          <w:b/>
          <w:color w:val="0F172A"/>
          <w:sz w:val="19"/>
        </w:rPr>
        <w:t>50M+ users</w:t>
      </w:r>
      <w:r>
        <w:rPr>
          <w:b w:val="0"/>
          <w:color w:val="111827"/>
          <w:sz w:val="19"/>
        </w:rPr>
        <w:t xml:space="preserve"> using CleverTap across push, in-app, WhatsApp, SMS and email, driving </w:t>
      </w:r>
      <w:r>
        <w:rPr>
          <w:b/>
          <w:color w:val="0F172A"/>
          <w:sz w:val="19"/>
        </w:rPr>
        <w:t>22% dormant-user reactivation</w:t>
      </w:r>
      <w:r>
        <w:rPr>
          <w:b w:val="0"/>
          <w:color w:val="111827"/>
          <w:sz w:val="19"/>
        </w:rPr>
        <w:t xml:space="preserve"> across 30-day windows.</w:t>
      </w:r>
    </w:p>
    <w:p>
      <w:pPr>
        <w:keepNext/>
        <w:spacing w:before="40" w:after="20"/>
      </w:pPr>
      <w:r>
        <w:rPr>
          <w:b/>
          <w:color w:val="1E3A8A"/>
          <w:sz w:val="19"/>
        </w:rPr>
        <w:t>CRM &amp; AI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Built </w:t>
      </w:r>
      <w:r>
        <w:rPr>
          <w:b/>
          <w:color w:val="0F172A"/>
          <w:sz w:val="19"/>
        </w:rPr>
        <w:t>CRM operations from scratch</w:t>
      </w:r>
      <w:r>
        <w:rPr>
          <w:b w:val="0"/>
          <w:color w:val="111827"/>
          <w:sz w:val="19"/>
        </w:rPr>
        <w:t xml:space="preserve"> after validating historical Freshchat reports, resolution-TAT data and user feedback; established OKRs, dashboards, SOPs and a </w:t>
      </w:r>
      <w:r>
        <w:rPr>
          <w:b/>
          <w:color w:val="0F172A"/>
          <w:sz w:val="19"/>
        </w:rPr>
        <w:t>10+ member team</w:t>
      </w:r>
      <w:r>
        <w:rPr>
          <w:b w:val="0"/>
          <w:color w:val="111827"/>
          <w:sz w:val="19"/>
        </w:rPr>
        <w:t xml:space="preserve">, reducing TAT from </w:t>
      </w:r>
      <w:r>
        <w:rPr>
          <w:b/>
          <w:color w:val="0F172A"/>
          <w:sz w:val="19"/>
        </w:rPr>
        <w:t>3–4 days→1–2 hours</w:t>
      </w:r>
      <w:r>
        <w:rPr>
          <w:b w:val="0"/>
          <w:color w:val="111827"/>
          <w:sz w:val="19"/>
        </w:rPr>
        <w:t xml:space="preserve"> and escalations to </w:t>
      </w:r>
      <w:r>
        <w:rPr>
          <w:b/>
          <w:color w:val="0F172A"/>
          <w:sz w:val="19"/>
        </w:rPr>
        <w:t>&lt;12 hours</w:t>
      </w:r>
      <w:r>
        <w:rPr>
          <w:b w:val="0"/>
          <w:color w:val="111827"/>
          <w:sz w:val="19"/>
        </w:rPr>
        <w:t>.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Built an </w:t>
      </w:r>
      <w:r>
        <w:rPr>
          <w:b/>
          <w:color w:val="0F172A"/>
          <w:sz w:val="19"/>
        </w:rPr>
        <w:t>AI Agent Helper</w:t>
      </w:r>
      <w:r>
        <w:rPr>
          <w:b w:val="0"/>
          <w:color w:val="111827"/>
          <w:sz w:val="19"/>
        </w:rPr>
        <w:t xml:space="preserve"> using ticket context and response templates, improving CSAT </w:t>
      </w:r>
      <w:r>
        <w:rPr>
          <w:b/>
          <w:color w:val="0F172A"/>
          <w:sz w:val="19"/>
        </w:rPr>
        <w:t>2→4.2/5</w:t>
      </w:r>
      <w:r>
        <w:rPr>
          <w:b w:val="0"/>
          <w:color w:val="111827"/>
          <w:sz w:val="19"/>
        </w:rPr>
        <w:t xml:space="preserve"> and reducing FRT to </w:t>
      </w:r>
      <w:r>
        <w:rPr>
          <w:b/>
          <w:color w:val="0F172A"/>
          <w:sz w:val="19"/>
        </w:rPr>
        <w:t>&lt;2 min</w:t>
      </w:r>
      <w:r>
        <w:rPr>
          <w:b w:val="0"/>
          <w:color w:val="111827"/>
          <w:sz w:val="19"/>
        </w:rPr>
        <w:t xml:space="preserve">; subsequently launched an </w:t>
      </w:r>
      <w:r>
        <w:rPr>
          <w:b/>
          <w:color w:val="0F172A"/>
          <w:sz w:val="19"/>
        </w:rPr>
        <w:t>AI chatbot</w:t>
      </w:r>
      <w:r>
        <w:rPr>
          <w:b w:val="0"/>
          <w:color w:val="111827"/>
          <w:sz w:val="19"/>
        </w:rPr>
        <w:t xml:space="preserve"> achieving </w:t>
      </w:r>
      <w:r>
        <w:rPr>
          <w:b/>
          <w:color w:val="0F172A"/>
          <w:sz w:val="19"/>
        </w:rPr>
        <w:t>40–50% routine ticket deflection</w:t>
      </w:r>
      <w:r>
        <w:rPr>
          <w:b w:val="0"/>
          <w:color w:val="111827"/>
          <w:sz w:val="19"/>
        </w:rPr>
        <w:t>.</w:t>
      </w:r>
    </w:p>
    <w:p>
      <w:pPr>
        <w:keepNext/>
        <w:spacing w:before="40" w:after="20"/>
      </w:pPr>
      <w:r>
        <w:rPr>
          <w:b/>
          <w:color w:val="1E3A8A"/>
          <w:sz w:val="19"/>
        </w:rPr>
        <w:t>Platform, KYC &amp; Compliance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Re-engineered KYC from </w:t>
      </w:r>
      <w:r>
        <w:rPr>
          <w:b/>
          <w:color w:val="0F172A"/>
          <w:sz w:val="19"/>
        </w:rPr>
        <w:t>12–24 hours→&lt;1 minute</w:t>
      </w:r>
      <w:r>
        <w:rPr>
          <w:b w:val="0"/>
          <w:color w:val="111827"/>
          <w:sz w:val="19"/>
        </w:rPr>
        <w:t xml:space="preserve"> and </w:t>
      </w:r>
      <w:r>
        <w:rPr>
          <w:b/>
          <w:color w:val="0F172A"/>
          <w:sz w:val="19"/>
        </w:rPr>
        <w:t>₹4→₹1 per successful KYC</w:t>
      </w:r>
      <w:r>
        <w:rPr>
          <w:b w:val="0"/>
          <w:color w:val="111827"/>
          <w:sz w:val="19"/>
        </w:rPr>
        <w:t xml:space="preserve"> by introducing automated vendor failover, achieving </w:t>
      </w:r>
      <w:r>
        <w:rPr>
          <w:b/>
          <w:color w:val="0F172A"/>
          <w:sz w:val="19"/>
        </w:rPr>
        <w:t>98%+ uptime</w:t>
      </w:r>
      <w:r>
        <w:rPr>
          <w:b w:val="0"/>
          <w:color w:val="111827"/>
          <w:sz w:val="19"/>
        </w:rPr>
        <w:t xml:space="preserve">; improved Indian-name matching to </w:t>
      </w:r>
      <w:r>
        <w:rPr>
          <w:b/>
          <w:color w:val="0F172A"/>
          <w:sz w:val="19"/>
        </w:rPr>
        <w:t>95% accuracy</w:t>
      </w:r>
      <w:r>
        <w:rPr>
          <w:b w:val="0"/>
          <w:color w:val="111827"/>
          <w:sz w:val="19"/>
        </w:rPr>
        <w:t xml:space="preserve"> and reduced manual reviews by </w:t>
      </w:r>
      <w:r>
        <w:rPr>
          <w:b/>
          <w:color w:val="0F172A"/>
          <w:sz w:val="19"/>
        </w:rPr>
        <w:t>~97%</w:t>
      </w:r>
      <w:r>
        <w:rPr>
          <w:b w:val="0"/>
          <w:color w:val="111827"/>
          <w:sz w:val="19"/>
        </w:rPr>
        <w:t>.</w:t>
      </w:r>
    </w:p>
    <w:p>
      <w:pPr>
        <w:pStyle w:val="ListBullet"/>
        <w:spacing w:after="30" w:line="276" w:lineRule="auto"/>
      </w:pPr>
      <w:r>
        <w:rPr>
          <w:b w:val="0"/>
          <w:color w:val="111827"/>
          <w:sz w:val="19"/>
        </w:rPr>
        <w:t xml:space="preserve">Delivered a compliance feature in </w:t>
      </w:r>
      <w:r>
        <w:rPr>
          <w:b/>
          <w:color w:val="0F172A"/>
          <w:sz w:val="19"/>
        </w:rPr>
        <w:t>5 days</w:t>
      </w:r>
      <w:r>
        <w:rPr>
          <w:b w:val="0"/>
          <w:color w:val="111827"/>
          <w:sz w:val="19"/>
        </w:rPr>
        <w:t xml:space="preserve"> by aligning Founders, Legal and Finance under regulatory pressure, enabling a time-sensitive product change without disrupting the customer journey.</w:t>
      </w:r>
    </w:p>
    <w:p>
      <w:pPr>
        <w:keepNext/>
        <w:spacing w:before="40" w:after="20"/>
      </w:pPr>
      <w:r>
        <w:rPr>
          <w:b/>
          <w:color w:val="1E3A8A"/>
          <w:sz w:val="19"/>
        </w:rPr>
        <w:t>Product Discovery — Product Intern</w:t>
      </w:r>
    </w:p>
    <w:p>
      <w:pPr>
        <w:pStyle w:val="ListBullet"/>
        <w:spacing w:after="60" w:line="276" w:lineRule="auto"/>
      </w:pPr>
      <w:r>
        <w:rPr>
          <w:b w:val="0"/>
          <w:color w:val="111827"/>
          <w:sz w:val="19"/>
        </w:rPr>
        <w:t xml:space="preserve">Conducted </w:t>
      </w:r>
      <w:r>
        <w:rPr>
          <w:b/>
          <w:color w:val="0F172A"/>
          <w:sz w:val="19"/>
        </w:rPr>
        <w:t>2,000+ user interviews</w:t>
      </w:r>
      <w:r>
        <w:rPr>
          <w:b w:val="0"/>
          <w:color w:val="111827"/>
          <w:sz w:val="19"/>
        </w:rPr>
        <w:t>, translating behavioral insights into onboarding and feature-prioritization improvements and earning a PPO.</w:t>
      </w:r>
    </w:p>
    <w:p>
      <w:pPr>
        <w:keepNext/>
        <w:spacing w:before="100" w:after="40"/>
        <w:pBdr>
          <w:bottom w:val="single" w:sz="12" w:space="2" w:color="0F172A"/>
        </w:pBdr>
      </w:pPr>
      <w:r>
        <w:rPr>
          <w:b/>
          <w:color w:val="0F172A"/>
          <w:sz w:val="21"/>
        </w:rPr>
        <w:t>EDUCATION</w:t>
      </w:r>
    </w:p>
    <w:p>
      <w:pPr>
        <w:spacing w:before="20" w:after="20"/>
      </w:pPr>
      <w:r>
        <w:rPr>
          <w:b/>
          <w:color w:val="0F172A"/>
          <w:sz w:val="19"/>
        </w:rPr>
        <w:t>PGDM — Information Technology</w:t>
      </w:r>
      <w:r>
        <w:t xml:space="preserve"> | Xavier Institute of Social Service (XISS) | 2020–2022</w:t>
        <w:br/>
      </w:r>
      <w:r>
        <w:rPr>
          <w:b/>
          <w:color w:val="475569"/>
          <w:sz w:val="18"/>
        </w:rPr>
        <w:t>Rank 2  •  CGPA: 8.39/10 (Silver Medalist)</w:t>
      </w:r>
    </w:p>
    <w:p>
      <w:pPr>
        <w:spacing w:before="20" w:after="40"/>
      </w:pPr>
      <w:r>
        <w:rPr>
          <w:b/>
          <w:color w:val="0F172A"/>
          <w:sz w:val="19"/>
        </w:rPr>
        <w:t>B.Sc. — Information Technology</w:t>
      </w:r>
      <w:r>
        <w:t xml:space="preserve"> | St. Xavier's College | 2016–2020</w:t>
        <w:br/>
      </w:r>
      <w:r>
        <w:rPr>
          <w:b/>
          <w:color w:val="475569"/>
          <w:sz w:val="18"/>
        </w:rPr>
        <w:t>First Class Distinction  •  66.28%</w:t>
      </w:r>
    </w:p>
    <w:p>
      <w:pPr>
        <w:keepNext/>
        <w:spacing w:before="100" w:after="40"/>
        <w:pBdr>
          <w:bottom w:val="single" w:sz="12" w:space="2" w:color="0F172A"/>
        </w:pBdr>
      </w:pPr>
      <w:r>
        <w:rPr>
          <w:b/>
          <w:color w:val="0F172A"/>
          <w:sz w:val="21"/>
        </w:rPr>
        <w:t>CERTIFICATIONS &amp; AWARDS</w:t>
      </w:r>
    </w:p>
    <w:p>
      <w:pPr>
        <w:pStyle w:val="ListBullet"/>
        <w:spacing w:before="0" w:after="30" w:line="276" w:lineRule="auto"/>
      </w:pPr>
      <w:r>
        <w:rPr>
          <w:b/>
          <w:color w:val="0F172A"/>
          <w:sz w:val="19"/>
        </w:rPr>
        <w:t xml:space="preserve">CleverTap Certified: </w:t>
      </w:r>
      <w:r>
        <w:rPr>
          <w:color w:val="111827"/>
          <w:sz w:val="19"/>
        </w:rPr>
        <w:t>User Lifecycle, Segmentation &amp; Behavioral Analytics</w:t>
      </w:r>
    </w:p>
    <w:p>
      <w:pPr>
        <w:pStyle w:val="ListBullet"/>
        <w:spacing w:before="0" w:after="40" w:line="276" w:lineRule="auto"/>
      </w:pPr>
      <w:r>
        <w:rPr>
          <w:b/>
          <w:color w:val="0F172A"/>
          <w:sz w:val="19"/>
        </w:rPr>
        <w:t xml:space="preserve">Corporate Excellence Awards: </w:t>
      </w:r>
      <w:r>
        <w:rPr>
          <w:color w:val="111827"/>
          <w:sz w:val="19"/>
        </w:rPr>
        <w:t>Power Award (2×)  •  Pinnacle Award (3×)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