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 SERVICES AGREEMENT</w:t>
      </w:r>
    </w:p>
    <w:p>
      <w:pPr>
        <w:pStyle w:val="Heading1"/>
      </w:pPr>
      <w:r>
        <w:t>Definitions</w:t>
      </w:r>
    </w:p>
    <w:p>
      <w:r>
        <w:t>In this Agreement the following words have the following meanings. Business Day means a day other than a Saturday, Sunday or public holiday in England.</w:t>
      </w:r>
    </w:p>
    <w:p>
      <w:pPr>
        <w:pStyle w:val="Heading1"/>
      </w:pPr>
      <w:r>
        <w:t>Term</w:t>
      </w:r>
    </w:p>
    <w:p>
      <w:r>
        <w:t>This Agreement starts on the Effective Date and continues for 24 months unless terminated earlier in accordance with clause 3.</w:t>
      </w:r>
    </w:p>
    <w:p>
      <w:pPr>
        <w:pStyle w:val="Heading1"/>
      </w:pPr>
      <w:r>
        <w:t>Termination</w:t>
      </w:r>
    </w:p>
    <w:p>
      <w:r>
        <w:t>Either party may terminate this Agreement for convenience on giving the other party not less than 30 days written notice. Either party may terminate immediately if the other party commits a material breach which is not remedied within 14 days of notice.</w:t>
      </w:r>
    </w:p>
    <w:p>
      <w:pPr>
        <w:pStyle w:val="Heading1"/>
      </w:pPr>
      <w:r>
        <w:t>Governing Law</w:t>
      </w:r>
    </w:p>
    <w:p>
      <w:r>
        <w:t>This Agreement and any dispute arising out of it are governed by the laws of England and Wales, and the courts of England have exclusive jurisdiction.</w:t>
      </w:r>
    </w:p>
    <w:p>
      <w:pPr>
        <w:pStyle w:val="Heading1"/>
      </w:pPr>
      <w:r>
        <w:t>Notices</w:t>
      </w:r>
    </w:p>
    <w:p>
      <w:r>
        <w:t>Notices must be in writing and delivered by hand or sent by prepaid first-class post to the address of the receiving party set out above.</w:t>
      </w:r>
    </w:p>
    <w:tbl>
      <w:tblPr/>
      <w:tblGrid/>
    </w:tbl>
    <w:tbl>
      <w:tblPr/>
      <w:tblGrid>
        <w:gridCol/>
      </w:tblGrid>
      <w:tr/>
      <w:tr>
        <w:tc>
          <w:p>
            <w:r>
              <w:t>Only cell</w:t>
            </w:r>
          </w:p>
        </w:tc>
      </w:tr>
    </w:tbl>
    <w:sdt>
      <w:sdtPr>
        <w:id w:val="5"/>
      </w:sdtPr>
      <w:sdtContent>
        <w:tbl>
          <w:tblPr/>
          <w:tblGrid>
            <w:gridCol/>
          </w:tblGrid>
          <w:tr>
            <w:tc>
              <w:p>
                <w:r>
                  <w:t>Table inside a block content control: fee 9,999 USD</w:t>
                </w:r>
              </w:p>
            </w:tc>
          </w:tr>
        </w:tbl>
      </w:sdtContent>
    </w:sdt>
    <w:p>
      <w:r>
        <w:t>Paragraph after degenerate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