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  Experiments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We evaluate MMALS under RC2O v1 (MNIST family), RC2O v2.2c (Split-CIFAR-10, full evidence), </w:t>
      </w:r>
      <w:r>
        <w:rPr>
          <w:rFonts w:ascii="Arial" w:cs="Arial" w:eastAsia="Arial" w:hAnsi="Arial"/>
          <w:sz w:val="20"/>
          <w:szCs w:val="20"/>
        </w:rPr>
        <w:t xml:space="preserve">and RC2O v2.2c (Split-CIFAR-100, diagnostic addendum) on a multi-dataset continual learning </w:t>
      </w:r>
      <w:r>
        <w:rPr>
          <w:rFonts w:ascii="Arial" w:cs="Arial" w:eastAsia="Arial" w:hAnsi="Arial"/>
          <w:sz w:val="20"/>
          <w:szCs w:val="20"/>
        </w:rPr>
        <w:t xml:space="preserve">benchmark spanning four dataset families of increasing visual complexity. All experiments use </w:t>
      </w:r>
      <w:r>
        <w:rPr>
          <w:rFonts w:ascii="Arial" w:cs="Arial" w:eastAsia="Arial" w:hAnsi="Arial"/>
          <w:sz w:val="20"/>
          <w:szCs w:val="20"/>
        </w:rPr>
        <w:t xml:space="preserve">class-incremental learning (CIL) with no task identity available at inference time. Results are </w:t>
      </w:r>
      <w:r>
        <w:rPr>
          <w:rFonts w:ascii="Arial" w:cs="Arial" w:eastAsia="Arial" w:hAnsi="Arial"/>
          <w:sz w:val="20"/>
          <w:szCs w:val="20"/>
        </w:rPr>
        <w:t xml:space="preserve">reported as means over three seeds (CIFAR-10) or five seeds (CIFAR-100). Phase 1 covers the </w:t>
      </w:r>
      <w:r>
        <w:rPr>
          <w:rFonts w:ascii="Arial" w:cs="Arial" w:eastAsia="Arial" w:hAnsi="Arial"/>
          <w:sz w:val="20"/>
          <w:szCs w:val="20"/>
        </w:rPr>
        <w:t xml:space="preserve">MNIST family; Phase 2 extends to Split-TinyImageNet and CORe50.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 Benchmark Suite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Table 1 summarises the eight benchmarks targeted across both phases. The MNIST family provides </w:t>
      </w:r>
      <w:r>
        <w:rPr>
          <w:rFonts w:ascii="Arial" w:cs="Arial" w:eastAsia="Arial" w:hAnsi="Arial"/>
          <w:sz w:val="20"/>
          <w:szCs w:val="20"/>
        </w:rPr>
        <w:t xml:space="preserve">controlled evaluation under permutation, rotation, and fashion-shift distributions. The natural-image </w:t>
      </w:r>
      <w:r>
        <w:rPr>
          <w:rFonts w:ascii="Arial" w:cs="Arial" w:eastAsia="Arial" w:hAnsi="Arial"/>
          <w:sz w:val="20"/>
          <w:szCs w:val="20"/>
        </w:rPr>
        <w:t xml:space="preserve">family introduces visual complexity absent from pixel-space benchmarks. Split-CIFAR-10 is fully </w:t>
      </w:r>
      <w:r>
        <w:rPr>
          <w:rFonts w:ascii="Arial" w:cs="Arial" w:eastAsia="Arial" w:hAnsi="Arial"/>
          <w:sz w:val="20"/>
          <w:szCs w:val="20"/>
        </w:rPr>
        <w:t xml:space="preserve">validated under RC2O v2.2c (3 seeds). Split-CIFAR-100 contributes a diagnostic robust addendum </w:t>
      </w:r>
      <w:r>
        <w:rPr>
          <w:rFonts w:ascii="Arial" w:cs="Arial" w:eastAsia="Arial" w:hAnsi="Arial"/>
          <w:sz w:val="20"/>
          <w:szCs w:val="20"/>
        </w:rPr>
        <w:t xml:space="preserve">(5 seeds); full qualification requires a stronger backbone.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1 — Benchmark suite overview.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560"/>
        <w:gridCol w:w="14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Classes/Task</w:t>
            </w:r>
          </w:p>
        </w:tc>
        <w:tc>
          <w:tcPr>
            <w:tcW w:type="dxa" w:w="14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Split-MNIST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MNIST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28×28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✓ RC2O v1 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Permuted-MNIST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MNIST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28×28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✓ RC2O v1 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Rotated-MNIST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MNIST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28×28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✓ RC2O v1 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Fashion-MNIST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MNIST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28×28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✓ RC2O v1 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Split-CIFAR-10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Natural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32×32 RGB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✓ RC2O v2.2c validated (3 seeds)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Split-CIFAR-100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Natural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32×32 RGB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⚠ Diagnostic addendum (5 seeds)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Split-TinyImageNet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Natural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64×64 RGB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⏳ 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CORe50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Natural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128×128 RGB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⏳ Phase 2</w:t>
            </w:r>
          </w:p>
        </w:tc>
      </w:tr>
    </w:tbl>
    <w:p>
      <w:pPr>
        <w:spacing w:after="80" w:line="252"/>
        <w:jc w:val="both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Phase 1 datasets (rows 1–4) validated under RC2O v1. Split-CIFAR-10 validated under RC2O v2.2c. Phase 2 datasets scheduled after backbone-stabilisation protocol.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 Baselines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We compare MMALS against the following methods, all implemented in a unified hardened pipeline. </w:t>
      </w:r>
      <w:r>
        <w:rPr>
          <w:rFonts w:ascii="Arial" w:cs="Arial" w:eastAsia="Arial" w:hAnsi="Arial"/>
          <w:sz w:val="20"/>
          <w:szCs w:val="20"/>
        </w:rPr>
        <w:t xml:space="preserve">Baseline hyperparameters are validation-selected from a candidate grid (72 candidate rows, 3 seeds) </w:t>
      </w:r>
      <w:r>
        <w:rPr>
          <w:rFonts w:ascii="Arial" w:cs="Arial" w:eastAsia="Arial" w:hAnsi="Arial"/>
          <w:sz w:val="20"/>
          <w:szCs w:val="20"/>
        </w:rPr>
        <w:t xml:space="preserve">to avoid arbitrary-default criticism.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Fine-tuning (FT).</w:t>
      </w:r>
      <w:r>
        <w:rPr>
          <w:rFonts w:ascii="Arial" w:cs="Arial" w:eastAsia="Arial" w:hAnsi="Arial"/>
          <w:sz w:val="20"/>
          <w:szCs w:val="20"/>
        </w:rPr>
        <w:t xml:space="preserve"> Naive sequential training; lower bound.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EWC.</w:t>
      </w:r>
      <w:r>
        <w:rPr>
          <w:rFonts w:ascii="Arial" w:cs="Arial" w:eastAsia="Arial" w:hAnsi="Arial"/>
          <w:sz w:val="20"/>
          <w:szCs w:val="20"/>
        </w:rPr>
        <w:t xml:space="preserve"> Elastic Weight Consolidation (Kirkpatrick et al., 2017).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LwF.</w:t>
      </w:r>
      <w:r>
        <w:rPr>
          <w:rFonts w:ascii="Arial" w:cs="Arial" w:eastAsia="Arial" w:hAnsi="Arial"/>
          <w:sz w:val="20"/>
          <w:szCs w:val="20"/>
        </w:rPr>
        <w:t xml:space="preserve"> Learning without Forgetting (Li &amp; Hoiem, 2017).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Experience Replay / Balanced Replay.</w:t>
      </w:r>
      <w:r>
        <w:rPr>
          <w:rFonts w:ascii="Arial" w:cs="Arial" w:eastAsia="Arial" w:hAnsi="Arial"/>
          <w:sz w:val="20"/>
          <w:szCs w:val="20"/>
        </w:rPr>
        <w:t xml:space="preserve"> Reservoir-sampled episodic memory; memory size val-selected.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Sparse-MoE.</w:t>
      </w:r>
      <w:r>
        <w:rPr>
          <w:rFonts w:ascii="Arial" w:cs="Arial" w:eastAsia="Arial" w:hAnsi="Arial"/>
          <w:sz w:val="20"/>
          <w:szCs w:val="20"/>
        </w:rPr>
        <w:t xml:space="preserve"> Sparse mixture-of-experts routing baseline.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Joint MLP control.</w:t>
      </w:r>
      <w:r>
        <w:rPr>
          <w:rFonts w:ascii="Arial" w:cs="Arial" w:eastAsia="Arial" w:hAnsi="Arial"/>
          <w:sz w:val="20"/>
          <w:szCs w:val="20"/>
        </w:rPr>
        <w:t xml:space="preserve"> All tasks trained simultaneously on the same MLP readout family as MMALS candidates.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Note:</w:t>
      </w:r>
      <w:r>
        <w:rPr>
          <w:rFonts w:ascii="Arial" w:cs="Arial" w:eastAsia="Arial" w:hAnsi="Arial"/>
          <w:sz w:val="20"/>
          <w:szCs w:val="20"/>
        </w:rPr>
        <w:t xml:space="preserve"> this is not a theoretical upper bound; it is a same-architecture joint-training control. </w:t>
      </w:r>
      <w:r>
        <w:rPr>
          <w:rFonts w:ascii="Arial" w:cs="Arial" w:eastAsia="Arial" w:hAnsi="Arial"/>
          <w:sz w:val="20"/>
          <w:szCs w:val="20"/>
        </w:rPr>
        <w:t xml:space="preserve">MMALS candidates exceed it (0.909 vs. 0.753 on Split-CIFAR-10), confirming that the CL protocol </w:t>
      </w:r>
      <w:r>
        <w:rPr>
          <w:rFonts w:ascii="Arial" w:cs="Arial" w:eastAsia="Arial" w:hAnsi="Arial"/>
          <w:sz w:val="20"/>
          <w:szCs w:val="20"/>
        </w:rPr>
        <w:t xml:space="preserve">does not trivially collapse to joint-training performance.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 Evaluation Metrics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Following standard CIL protocol, we report: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(i) average accuracy (Avg Acc)</w:t>
      </w:r>
      <w:r>
        <w:rPr>
          <w:rFonts w:ascii="Arial" w:cs="Arial" w:eastAsia="Arial" w:hAnsi="Arial"/>
          <w:sz w:val="20"/>
          <w:szCs w:val="20"/>
        </w:rPr>
        <w:t xml:space="preserve"> — mean per-class accuracy across all seen tasks after final training;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(ii) minimum-task accuracy (Min Task)</w:t>
      </w:r>
      <w:r>
        <w:rPr>
          <w:rFonts w:ascii="Arial" w:cs="Arial" w:eastAsia="Arial" w:hAnsi="Arial"/>
          <w:sz w:val="20"/>
          <w:szCs w:val="20"/>
        </w:rPr>
        <w:t xml:space="preserve"> — accuracy on the worst-performing task;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(iii) average forgetting</w:t>
      </w:r>
      <w:r>
        <w:rPr>
          <w:rFonts w:ascii="Arial" w:cs="Arial" w:eastAsia="Arial" w:hAnsi="Arial"/>
          <w:sz w:val="20"/>
          <w:szCs w:val="20"/>
        </w:rPr>
        <w:t xml:space="preserve"> — mean accuracy drop on previously learned tasks; and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(iv) minimum-class accuracy (Min-Class)</w:t>
      </w:r>
      <w:r>
        <w:rPr>
          <w:rFonts w:ascii="Arial" w:cs="Arial" w:eastAsia="Arial" w:hAnsi="Arial"/>
          <w:sz w:val="20"/>
          <w:szCs w:val="20"/>
        </w:rPr>
        <w:t xml:space="preserve"> — accuracy on the worst-performing individual class, probing class collapse.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 Phase 1 Results — MNIST Family (RC2O v1)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Table 2 reports results on the four MNIST-family benchmarks under RC2O v1. </w:t>
      </w:r>
      <w:r>
        <w:rPr>
          <w:rFonts w:ascii="Arial" w:cs="Arial" w:eastAsia="Arial" w:hAnsi="Arial"/>
          <w:sz w:val="20"/>
          <w:szCs w:val="20"/>
        </w:rPr>
        <w:t xml:space="preserve">The RC2O selector operates on validation memory only; no test-set information influences policy selection.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2 — MNIST family results (RC2O v1, 3 seeds, mean ± std). Results pending CSV consolidation.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60"/>
        <w:gridCol w:w="1360"/>
        <w:gridCol w:w="1360"/>
        <w:gridCol w:w="1280"/>
        <w:gridCol w:w="1400"/>
      </w:tblGrid>
      <w:tr>
        <w:trPr>
          <w:tblHeader/>
        </w:trPr>
        <w:tc>
          <w:tcPr>
            <w:tcW w:type="dxa" w:w="26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Avg Acc ↑</w:t>
            </w:r>
          </w:p>
        </w:tc>
        <w:tc>
          <w:tcPr>
            <w:tcW w:type="dxa" w:w="13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 Task ↑</w:t>
            </w:r>
          </w:p>
        </w:tc>
        <w:tc>
          <w:tcPr>
            <w:tcW w:type="dxa" w:w="13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Forgetting ↓</w:t>
            </w:r>
          </w:p>
        </w:tc>
        <w:tc>
          <w:tcPr>
            <w:tcW w:type="dxa" w:w="128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Min-Class ↑</w:t>
            </w:r>
          </w:p>
        </w:tc>
        <w:tc>
          <w:tcPr>
            <w:tcW w:type="dxa" w:w="14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MMALS RC2O — context-gap selected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Deployable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MMALS RC2O — temp-blend + guard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Deployable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EWC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LwF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Experience Replay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Sparse-MoE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Lower bound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Joint upper bound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Oracle ref.</w:t>
            </w:r>
          </w:p>
        </w:tc>
      </w:tr>
    </w:tbl>
    <w:p>
      <w:pPr>
        <w:spacing w:after="80" w:line="252"/>
        <w:jc w:val="both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Bold: best deployable result. [TBD] placeholders will be filled from consolidated MNIST CSV exports prior to submission.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 Phase 2 Bridge — Split-CIFAR-10 Robust Run (RC2O v2.2c, 5 Seeds)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Table 3 reports robust results on Split-CIFAR-10 (5 seeds, 8 epochs per task, memory 256). </w:t>
      </w:r>
      <w:r>
        <w:rPr>
          <w:rFonts w:ascii="Arial" w:cs="Arial" w:eastAsia="Arial" w:hAnsi="Arial"/>
          <w:sz w:val="20"/>
          <w:szCs w:val="20"/>
        </w:rPr>
        <w:t xml:space="preserve">The selected RC2O policy achieves 0.914 ± 0.006 final average accuracy versus 0.739 ± 0.016 for </w:t>
      </w:r>
      <w:r>
        <w:rPr>
          <w:rFonts w:ascii="Arial" w:cs="Arial" w:eastAsia="Arial" w:hAnsi="Arial"/>
          <w:sz w:val="20"/>
          <w:szCs w:val="20"/>
        </w:rPr>
        <w:t xml:space="preserve">the best validation-selected replay baseline. The paired gain is +0.175 with 95% CI [0.161, 0.190], </w:t>
      </w:r>
      <w:r>
        <w:rPr>
          <w:rFonts w:ascii="Arial" w:cs="Arial" w:eastAsia="Arial" w:hAnsi="Arial"/>
          <w:sz w:val="20"/>
          <w:szCs w:val="20"/>
        </w:rPr>
        <w:t xml:space="preserve">positive in every seed. Forgetting is low (0.024) and no zero-recall classes are observed in any seed. </w:t>
      </w:r>
      <w:r>
        <w:rPr>
          <w:rFonts w:ascii="Arial" w:cs="Arial" w:eastAsia="Arial" w:hAnsi="Arial"/>
          <w:sz w:val="20"/>
          <w:szCs w:val="20"/>
        </w:rPr>
        <w:t xml:space="preserve">The safe readout candidate is essentially tied (0.914 ± 0.005), and the oracle gap averages only 0.010.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3 — Split-CIFAR-10 robust results (RC2O v2.2c, 5 seeds). † Safe class-balanced readout. ‡ Joint MLP control — MMALS exceeds it; not a theoretical upper bound (Section 4.2).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Avg Acc ↑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 Task ↑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Forgetting ↓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Min-Class ↑</w:t>
            </w:r>
          </w:p>
        </w:tc>
        <w:tc>
          <w:tcPr>
            <w:tcW w:type="dxa" w:w="19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MMALS RC2O — safe readout†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0.914 ±0.005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0.853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0.024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0.843</w:t>
            </w:r>
          </w:p>
        </w:tc>
        <w:tc>
          <w:tcPr>
            <w:tcW w:type="dxa" w:w="196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Deployable (best)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MMALS RC2O — selected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0.914 ±0.006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0.854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0.841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Deployable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MMALS RC2O — RC1b guarded context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0.910 ±0.008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0.829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Deployable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Best Replay (val-selected)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0.739 ±0.016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0.602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0.192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0.567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LwF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0.250 ±0.030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EWC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0.190 ±0.002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0.935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0.190 ±0.002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0.931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Lower bound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Joint MLP control‡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0.753 ±0.013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0.625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0.580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Diagnostic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ZF oracle probe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0.923 ±0.006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0.827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Repr. ceiling</w:t>
            </w:r>
          </w:p>
        </w:tc>
      </w:tr>
    </w:tbl>
    <w:p>
      <w:pPr>
        <w:spacing w:after="80" w:line="252"/>
        <w:jc w:val="both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MMALS total size: 2.011 MB (backbone 526K frozen + readout 650 params). Baselines: 0.316 MB (readout only, same frozen backbone). ZF oracle uses zero-shot features; not deployable. Per-seed gains (Δ vs replay): seed 0 +0.169, seed 1 +0.166, seed 2 +0.190, seed 3 +0.186, seed 4 +0.166.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4.6  Representation Ladder Validation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Before the CL comparison, we validate the visual feature extractor via a three-bloc sanity ladder. </w:t>
      </w:r>
      <w:r>
        <w:rPr>
          <w:rFonts w:ascii="Arial" w:cs="Arial" w:eastAsia="Arial" w:hAnsi="Arial"/>
          <w:sz w:val="20"/>
          <w:szCs w:val="20"/>
        </w:rPr>
        <w:t xml:space="preserve">The A1 backbone (SmallCNN + augmentation + CIFAR normalisation) is trained in supervised mode, </w:t>
      </w:r>
      <w:r>
        <w:rPr>
          <w:rFonts w:ascii="Arial" w:cs="Arial" w:eastAsia="Arial" w:hAnsi="Arial"/>
          <w:sz w:val="20"/>
          <w:szCs w:val="20"/>
        </w:rPr>
        <w:t xml:space="preserve">then frozen and probed with a linear head. The same frozen backbone is reused unchanged in all CL </w:t>
      </w:r>
      <w:r>
        <w:rPr>
          <w:rFonts w:ascii="Arial" w:cs="Arial" w:eastAsia="Arial" w:hAnsi="Arial"/>
          <w:sz w:val="20"/>
          <w:szCs w:val="20"/>
        </w:rPr>
        <w:t xml:space="preserve">experiments (REUSE_A1_SANITY_BACKBONE_FOR_CL = True), ensuring representation quality is </w:t>
      </w:r>
      <w:r>
        <w:rPr>
          <w:rFonts w:ascii="Arial" w:cs="Arial" w:eastAsia="Arial" w:hAnsi="Arial"/>
          <w:sz w:val="20"/>
          <w:szCs w:val="20"/>
        </w:rPr>
        <w:t xml:space="preserve">decoupled from CL algorithm performance.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4 — Backbone representation ladder (Split-CIFAR-10).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80"/>
        <w:gridCol w:w="1380"/>
        <w:gridCol w:w="1380"/>
        <w:gridCol w:w="1380"/>
        <w:gridCol w:w="1440"/>
      </w:tblGrid>
      <w:tr>
        <w:trPr>
          <w:tblHeader/>
        </w:trPr>
        <w:tc>
          <w:tcPr>
            <w:tcW w:type="dxa" w:w="24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Backbone variant</w:t>
            </w:r>
          </w:p>
        </w:tc>
        <w:tc>
          <w:tcPr>
            <w:tcW w:type="dxa" w:w="138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 val ↑</w:t>
            </w:r>
          </w:p>
        </w:tc>
        <w:tc>
          <w:tcPr>
            <w:tcW w:type="dxa" w:w="138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 test ↑</w:t>
            </w:r>
          </w:p>
        </w:tc>
        <w:tc>
          <w:tcPr>
            <w:tcW w:type="dxa" w:w="138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Probe val ↑</w:t>
            </w:r>
          </w:p>
        </w:tc>
        <w:tc>
          <w:tcPr>
            <w:tcW w:type="dxa" w:w="138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Probe test ↑</w:t>
            </w:r>
          </w:p>
        </w:tc>
        <w:tc>
          <w:tcPr>
            <w:tcW w:type="dxa" w:w="1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A0 — SmallCNN v2.1 (reference)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0.750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0.749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0.751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✓ PASS (≥0.65)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A1 — SmallCNN + aug + norm (CL default)</w:t>
            </w:r>
          </w:p>
        </w:tc>
        <w:tc>
          <w:tcPr>
            <w:tcW w:type="dxa" w:w="138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0.884</w:t>
            </w:r>
          </w:p>
        </w:tc>
        <w:tc>
          <w:tcPr>
            <w:tcW w:type="dxa" w:w="138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0.880</w:t>
            </w:r>
          </w:p>
        </w:tc>
        <w:tc>
          <w:tcPr>
            <w:tcW w:type="dxa" w:w="138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0.884</w:t>
            </w:r>
          </w:p>
        </w:tc>
        <w:tc>
          <w:tcPr>
            <w:tcW w:type="dxa" w:w="138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0.880</w:t>
            </w:r>
          </w:p>
        </w:tc>
        <w:tc>
          <w:tcPr>
            <w:tcW w:type="dxa" w:w="144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 (≥0.65)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A2 — ResNet-18 ImageNet frozen (ref.)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0.868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0.860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0.868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✓ PASS (≥0.85)</w:t>
            </w:r>
          </w:p>
        </w:tc>
      </w:tr>
    </w:tbl>
    <w:p>
      <w:pPr>
        <w:spacing w:after="80" w:line="252"/>
        <w:jc w:val="both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A1 reaches 0.884 supervised validation and 0.884 frozen linear-probe validation (robust run, 5 seeds). ResNet-18 frozen (A2) serves as representational ceiling reference.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4.7  Gate Checklist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All ten predefined gate checks pass in the evidence run (Table 5). Gates were specified prior to </w:t>
      </w:r>
      <w:r>
        <w:rPr>
          <w:rFonts w:ascii="Arial" w:cs="Arial" w:eastAsia="Arial" w:hAnsi="Arial"/>
          <w:sz w:val="20"/>
          <w:szCs w:val="20"/>
        </w:rPr>
        <w:t xml:space="preserve">running the evidence experiments and are not post-hoc thresholds.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5 — Split-CIFAR-10 robust gate checklist (RC2O v2.2c, 5 seeds).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200"/>
        <w:gridCol w:w="1200"/>
        <w:gridCol w:w="1200"/>
      </w:tblGrid>
      <w:tr>
        <w:trPr>
          <w:tblHeader/>
        </w:trPr>
        <w:tc>
          <w:tcPr>
            <w:tcW w:type="dxa" w:w="39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 check</w:t>
            </w:r>
          </w:p>
        </w:tc>
        <w:tc>
          <w:tcPr>
            <w:tcW w:type="dxa" w:w="1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Ceiling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A1 supervised backbone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A1 frozen linear probe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Joint MLP control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Selected RC2O vs. best replay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0.909 vs. 0.741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Min-task non-zero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0.828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Forgetting not explosive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Min-class non-zero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Zero-recall classes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 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Specialization components materialized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4 /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Specialization aligned to selected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PASS</w:t>
            </w:r>
          </w:p>
        </w:tc>
      </w:tr>
    </w:tbl>
    <w:p>
      <w:pPr>
        <w:spacing w:after="80" w:line="252"/>
        <w:jc w:val="both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Gate thresholds are intentionally modest (diagnostic, not SOTA claims). The zero-recall gate confirms no class collapse across all five seeds.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4.8  Phase 2 Diagnostic Addendum — Split-CIFAR-100 (RC2O v2.2c, 5 Seeds)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Table 6 reports a robust diagnostic run on Split-CIFAR-100 (10 tasks × 10 classes, 5 seeds). </w:t>
      </w:r>
      <w:r>
        <w:rPr>
          <w:rFonts w:ascii="Arial" w:cs="Arial" w:eastAsia="Arial" w:hAnsi="Arial"/>
          <w:sz w:val="20"/>
          <w:szCs w:val="20"/>
        </w:rPr>
        <w:t xml:space="preserve">This run extends the external bridge beyond Split-CIFAR-10. RC2O remains clearly superior to </w:t>
      </w:r>
      <w:r>
        <w:rPr>
          <w:rFonts w:ascii="Arial" w:cs="Arial" w:eastAsia="Arial" w:hAnsi="Arial"/>
          <w:sz w:val="20"/>
          <w:szCs w:val="20"/>
        </w:rPr>
        <w:t xml:space="preserve">validation-selected replay across all five seeds, with a mean paired gain of +0.203 (95% CI </w:t>
      </w:r>
      <w:r>
        <w:rPr>
          <w:rFonts w:ascii="Arial" w:cs="Arial" w:eastAsia="Arial" w:hAnsi="Arial"/>
          <w:sz w:val="20"/>
          <w:szCs w:val="20"/>
        </w:rPr>
        <w:t xml:space="preserve">[0.134, 0.271]). However, the representation ladder and joint-control floor do not pass the </w:t>
      </w:r>
      <w:r>
        <w:rPr>
          <w:rFonts w:ascii="Arial" w:cs="Arial" w:eastAsia="Arial" w:hAnsi="Arial"/>
          <w:sz w:val="20"/>
          <w:szCs w:val="20"/>
        </w:rPr>
        <w:t xml:space="preserve">configured qualification gates (joint MLP control: 0.378 vs. floor 0.65), indicating that this </w:t>
      </w:r>
      <w:r>
        <w:rPr>
          <w:rFonts w:ascii="Arial" w:cs="Arial" w:eastAsia="Arial" w:hAnsi="Arial"/>
          <w:sz w:val="20"/>
          <w:szCs w:val="20"/>
        </w:rPr>
        <w:t xml:space="preserve">benchmark remains representation/control-limited. We therefore report Split-CIFAR-100 as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positive diagnostic robust evidence</w:t>
      </w:r>
      <w:r>
        <w:rPr>
          <w:rFonts w:ascii="Arial" w:cs="Arial" w:eastAsia="Arial" w:hAnsi="Arial"/>
          <w:sz w:val="20"/>
          <w:szCs w:val="20"/>
        </w:rPr>
        <w:t xml:space="preserve">, not as a fully qualified robust benchmark claim.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6 — Split-CIFAR-100 diagnostic results (RC2O v2.2c, 5 seeds, mean ± std).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Avg Acc ↑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 Task ↑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Forgetting ↓</w:t>
            </w:r>
          </w:p>
        </w:tc>
        <w:tc>
          <w:tcPr>
            <w:tcW w:type="dxa" w:w="1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Min-Class ↑</w:t>
            </w:r>
          </w:p>
        </w:tc>
        <w:tc>
          <w:tcPr>
            <w:tcW w:type="dxa" w:w="19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MMALS RC2O — safe readout†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0.538 ±0.063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0.370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0.196</w:t>
            </w:r>
          </w:p>
        </w:tc>
        <w:tc>
          <w:tcPr>
            <w:tcW w:type="dxa" w:w="120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0.084</w:t>
            </w:r>
          </w:p>
        </w:tc>
        <w:tc>
          <w:tcPr>
            <w:tcW w:type="dxa" w:w="196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Deployable (best)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MMALS RC2O — selected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0.536 ±0.062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0.347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0.198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Deployable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Experience Replay (val-sel.)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0.333 ±0.007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0.363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LwF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0.135 ±0.002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0.484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Sparse-MoE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0.081 ±0.001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EWC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0.080 ±0.002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0.080 ±0.002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0.742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Lower bound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Joint MLP control‡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0.378 ±0.005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0.316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0.092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Diagnostic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ZF oracle probe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0.655 ±0.034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0.146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9"/>
                <w:szCs w:val="19"/>
              </w:rPr>
              <w:t xml:space="preserve">Repr. ceiling</w:t>
            </w:r>
          </w:p>
        </w:tc>
      </w:tr>
    </w:tbl>
    <w:p>
      <w:pPr>
        <w:spacing w:after="80" w:line="252"/>
        <w:jc w:val="both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† The joint MLP control fails the 0.65 floor (0.378 observed), indicating representation bottleneck. The backbone A1 was trained on CIFAR-10 (10 classes) and is insufficient for CIFAR-100 (100 classes). A stronger CIFAR-100-specific backbone is required for full qualification. Per-seed paired comparison: RC2O beats replay in every seed (seeds 0–4: +0.224, +0.126, +0.279, +0.191, +0.195).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4.9  Specialization Audit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Four specialization components are materialized for all five seeds: host ablation (150 rows), </w:t>
      </w:r>
      <w:r>
        <w:rPr>
          <w:rFonts w:ascii="Arial" w:cs="Arial" w:eastAsia="Arial" w:hAnsi="Arial"/>
          <w:sz w:val="20"/>
          <w:szCs w:val="20"/>
        </w:rPr>
        <w:t xml:space="preserve">host probe (125 rows), prototype separation (50 rows), and route/context confusion (50 rows). </w:t>
      </w:r>
      <w:r>
        <w:rPr>
          <w:rFonts w:ascii="Arial" w:cs="Arial" w:eastAsia="Arial" w:hAnsi="Arial"/>
          <w:sz w:val="20"/>
          <w:szCs w:val="20"/>
        </w:rPr>
        <w:t xml:space="preserve">All components are aligned to the selected policy candidate. This supports an auditability claim </w:t>
      </w:r>
      <w:r>
        <w:rPr>
          <w:rFonts w:ascii="Arial" w:cs="Arial" w:eastAsia="Arial" w:hAnsi="Arial"/>
          <w:sz w:val="20"/>
          <w:szCs w:val="20"/>
        </w:rPr>
        <w:t xml:space="preserve">for host specialization. Causal ablation plots with effect sizes are deferred to Phase 2.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4.10  Implementation Details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5068"/>
          <w:sz w:val="22"/>
          <w:szCs w:val="22"/>
        </w:rPr>
        <w:t xml:space="preserve">Feature backbone (CIFAR)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SmallCNN-A1: three convolutional layers (3→32→64→128 channels, 3×3 kernels), BatchNorm, ReLU, </w:t>
      </w:r>
      <w:r>
        <w:rPr>
          <w:rFonts w:ascii="Arial" w:cs="Arial" w:eastAsia="Arial" w:hAnsi="Arial"/>
          <w:sz w:val="20"/>
          <w:szCs w:val="20"/>
        </w:rPr>
        <w:t xml:space="preserve">AdaptiveAvgPool2d(1×1), linear projection to 256-dim. Training: CIFAR normalisation </w:t>
      </w:r>
      <w:r>
        <w:rPr>
          <w:rFonts w:ascii="Arial" w:cs="Arial" w:eastAsia="Arial" w:hAnsi="Arial"/>
          <w:sz w:val="20"/>
          <w:szCs w:val="20"/>
        </w:rPr>
        <w:t xml:space="preserve">(mean=[0.4914,0.4822,0.4465], std=[0.2023,0.1994,0.2010]), random crop (32×32, padding 4), </w:t>
      </w:r>
      <w:r>
        <w:rPr>
          <w:rFonts w:ascii="Arial" w:cs="Arial" w:eastAsia="Arial" w:hAnsi="Arial"/>
          <w:sz w:val="20"/>
          <w:szCs w:val="20"/>
        </w:rPr>
        <w:t xml:space="preserve">random horizontal flip, dropout p=0.10, cosine annealing LR scheduler. 625K parameters.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5068"/>
          <w:sz w:val="22"/>
          <w:szCs w:val="22"/>
        </w:rPr>
        <w:t xml:space="preserve">MMALS architecture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N_HOSTS specialist networks (MLPBlock: input→hidden→latent), context encoder </w:t>
      </w:r>
      <w:r>
        <w:rPr>
          <w:rFonts w:ascii="Arial" w:cs="Arial" w:eastAsia="Arial" w:hAnsi="Arial"/>
          <w:sz w:val="20"/>
          <w:szCs w:val="20"/>
        </w:rPr>
        <w:t xml:space="preserve">(input→128→CONTEXT_FEAT_DIM→N_CONTEXTS), learned context centres, router </w:t>
      </w:r>
      <w:r>
        <w:rPr>
          <w:rFonts w:ascii="Arial" w:cs="Arial" w:eastAsia="Arial" w:hAnsi="Arial"/>
          <w:sz w:val="20"/>
          <w:szCs w:val="20"/>
        </w:rPr>
        <w:t xml:space="preserve">(input + task embedding→ROUTE_HIDDEN→N_HOSTS), shared global classification head. </w:t>
      </w:r>
      <w:r>
        <w:rPr>
          <w:rFonts w:ascii="Arial" w:cs="Arial" w:eastAsia="Arial" w:hAnsi="Arial"/>
          <w:sz w:val="20"/>
          <w:szCs w:val="20"/>
        </w:rPr>
        <w:t xml:space="preserve">The mycelium operator T decomposes into T_separate (host specialisation), T_weight (routing), </w:t>
      </w:r>
      <w:r>
        <w:rPr>
          <w:rFonts w:ascii="Arial" w:cs="Arial" w:eastAsia="Arial" w:hAnsi="Arial"/>
          <w:sz w:val="20"/>
          <w:szCs w:val="20"/>
        </w:rPr>
        <w:t xml:space="preserve">and T_integrate (context-mediated fusion).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5068"/>
          <w:sz w:val="22"/>
          <w:szCs w:val="22"/>
        </w:rPr>
        <w:t xml:space="preserve">RC2O policy selection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RC2O selects among trained candidates using validation memory only. No test-set information </w:t>
      </w:r>
      <w:r>
        <w:rPr>
          <w:rFonts w:ascii="Arial" w:cs="Arial" w:eastAsia="Arial" w:hAnsi="Arial"/>
          <w:sz w:val="20"/>
          <w:szCs w:val="20"/>
        </w:rPr>
        <w:t xml:space="preserve">influences selection at any stage. RC2Jg adds a weak-boundary latent calibration candidate, </w:t>
      </w:r>
      <w:r>
        <w:rPr>
          <w:rFonts w:ascii="Arial" w:cs="Arial" w:eastAsia="Arial" w:hAnsi="Arial"/>
          <w:sz w:val="20"/>
          <w:szCs w:val="20"/>
        </w:rPr>
        <w:t xml:space="preserve">overriding RC2Jf only when strict no-regression gates pass on validation memory. </w:t>
      </w:r>
      <w:r>
        <w:rPr>
          <w:rFonts w:ascii="Arial" w:cs="Arial" w:eastAsia="Arial" w:hAnsi="Arial"/>
          <w:sz w:val="20"/>
          <w:szCs w:val="20"/>
        </w:rPr>
        <w:t xml:space="preserve">Baseline hyperparameters are independently val-selected from a 72-row candidate grid.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5068"/>
          <w:sz w:val="22"/>
          <w:szCs w:val="22"/>
        </w:rPr>
        <w:t xml:space="preserve">Reproducibility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All experiments use three fixed seeds (0, 1, 2). Code, configuration files, and result CSVs will </w:t>
      </w:r>
      <w:r>
        <w:rPr>
          <w:rFonts w:ascii="Arial" w:cs="Arial" w:eastAsia="Arial" w:hAnsi="Arial"/>
          <w:sz w:val="20"/>
          <w:szCs w:val="20"/>
        </w:rPr>
        <w:t xml:space="preserve">be released at [GitHub — upon submission]. Private references (Harbonnier 2026a–j) will be </w:t>
      </w:r>
      <w:r>
        <w:rPr>
          <w:rFonts w:ascii="Arial" w:cs="Arial" w:eastAsia="Arial" w:hAnsi="Arial"/>
          <w:sz w:val="20"/>
          <w:szCs w:val="20"/>
        </w:rPr>
        <w:t xml:space="preserve">converted to public appendices prior to arXiv submission.</w:t>
      </w:r>
    </w:p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50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2026-06-12T18:26:28.922Z</dcterms:created>
  <dcterms:modified xsi:type="dcterms:W3CDTF">2026-06-12T18:26:28.936Z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