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44539" w14:textId="51BC8E22" w:rsidR="009062F9" w:rsidRDefault="00133BA9" w:rsidP="00133BA9">
      <w:pPr>
        <w:pStyle w:val="Heading1"/>
        <w:jc w:val="center"/>
      </w:pPr>
      <w:r>
        <w:t>Read Me</w:t>
      </w:r>
    </w:p>
    <w:p w14:paraId="59A56757" w14:textId="05CC0B61" w:rsidR="00133BA9" w:rsidRDefault="00B2610E" w:rsidP="00B2610E">
      <w:pPr>
        <w:jc w:val="right"/>
      </w:pPr>
      <w:r w:rsidRPr="00B2610E">
        <w:t>October 12, 2019</w:t>
      </w:r>
    </w:p>
    <w:p w14:paraId="65628BFD" w14:textId="77777777" w:rsidR="00B2610E" w:rsidRDefault="00B2610E" w:rsidP="00133BA9"/>
    <w:p w14:paraId="397A4EAC" w14:textId="3C958053" w:rsidR="00133BA9" w:rsidRDefault="00133BA9" w:rsidP="00133BA9">
      <w:r>
        <w:t xml:space="preserve">This Geometric Algebra (GA) package was </w:t>
      </w:r>
      <w:r w:rsidR="00B2610E">
        <w:t xml:space="preserve">initially </w:t>
      </w:r>
      <w:r>
        <w:t xml:space="preserve">developed in </w:t>
      </w:r>
      <w:proofErr w:type="gramStart"/>
      <w:r w:rsidR="00B2610E">
        <w:t>January,</w:t>
      </w:r>
      <w:proofErr w:type="gramEnd"/>
      <w:r>
        <w:t xml:space="preserve"> 2017 using Mathematica 10 </w:t>
      </w:r>
      <w:r w:rsidR="00465DA9">
        <w:t xml:space="preserve">and has been </w:t>
      </w:r>
      <w:r w:rsidR="00B2610E">
        <w:t>extended using</w:t>
      </w:r>
      <w:r w:rsidR="00465DA9">
        <w:t xml:space="preserve"> version 11.</w:t>
      </w:r>
      <w:bookmarkStart w:id="0" w:name="OLE_LINK16"/>
      <w:bookmarkStart w:id="1" w:name="OLE_LINK17"/>
      <w:r w:rsidR="00465DA9">
        <w:t xml:space="preserve"> </w:t>
      </w:r>
      <w:r w:rsidR="00B2610E">
        <w:t>It is free to use, modify, and share but may not be used for commercial purposes.</w:t>
      </w:r>
      <w:bookmarkEnd w:id="0"/>
      <w:bookmarkEnd w:id="1"/>
      <w:r w:rsidR="00B2610E">
        <w:t xml:space="preserve"> </w:t>
      </w:r>
      <w:r w:rsidR="00465DA9">
        <w:t xml:space="preserve">It </w:t>
      </w:r>
      <w:r>
        <w:t xml:space="preserve">performs GA operations in n-dimensions for any n. </w:t>
      </w:r>
      <w:r w:rsidR="00B2610E">
        <w:t xml:space="preserve">It was developed to investigate equations of GA objects. To this end, </w:t>
      </w:r>
      <w:proofErr w:type="spellStart"/>
      <w:r w:rsidR="00B2610E">
        <w:t>ithis</w:t>
      </w:r>
      <w:proofErr w:type="spellEnd"/>
      <w:r w:rsidR="00B2610E">
        <w:t xml:space="preserve"> is not a symbolic representation of GA but is rather an implementation tied to a specific orthonormal basis designated 1, e</w:t>
      </w:r>
      <w:r w:rsidR="00B2610E">
        <w:rPr>
          <w:i/>
          <w:iCs/>
          <w:vertAlign w:val="subscript"/>
        </w:rPr>
        <w:t>1</w:t>
      </w:r>
      <w:r w:rsidR="00B2610E">
        <w:rPr>
          <w:vertAlign w:val="subscript"/>
        </w:rPr>
        <w:t xml:space="preserve">, </w:t>
      </w:r>
      <w:r w:rsidR="00B2610E">
        <w:t xml:space="preserve">…, </w:t>
      </w:r>
      <w:proofErr w:type="spellStart"/>
      <w:r w:rsidR="00B2610E">
        <w:t>e</w:t>
      </w:r>
      <w:r w:rsidR="00B2610E">
        <w:rPr>
          <w:vertAlign w:val="subscript"/>
        </w:rPr>
        <w:t>n</w:t>
      </w:r>
      <w:proofErr w:type="spellEnd"/>
      <w:r w:rsidR="00B2610E">
        <w:t>, e</w:t>
      </w:r>
      <w:r w:rsidR="00B2610E">
        <w:rPr>
          <w:vertAlign w:val="subscript"/>
        </w:rPr>
        <w:t>1</w:t>
      </w:r>
      <w:r w:rsidR="00B2610E">
        <w:t>e</w:t>
      </w:r>
      <w:r w:rsidR="00B2610E">
        <w:rPr>
          <w:vertAlign w:val="subscript"/>
        </w:rPr>
        <w:t>2</w:t>
      </w:r>
      <w:r w:rsidR="00B2610E">
        <w:t>, …, e</w:t>
      </w:r>
      <w:r w:rsidR="00B2610E">
        <w:rPr>
          <w:vertAlign w:val="subscript"/>
        </w:rPr>
        <w:t>1.</w:t>
      </w:r>
      <w:r w:rsidR="00B2610E">
        <w:t>e</w:t>
      </w:r>
      <w:r w:rsidR="00B2610E">
        <w:rPr>
          <w:vertAlign w:val="subscript"/>
        </w:rPr>
        <w:t>2</w:t>
      </w:r>
      <w:r w:rsidR="00B2610E">
        <w:t>…</w:t>
      </w:r>
      <w:proofErr w:type="spellStart"/>
      <w:r w:rsidR="00B2610E">
        <w:t>e</w:t>
      </w:r>
      <w:r w:rsidR="00B2610E">
        <w:rPr>
          <w:vertAlign w:val="subscript"/>
        </w:rPr>
        <w:t>n</w:t>
      </w:r>
      <w:proofErr w:type="spellEnd"/>
      <w:r w:rsidR="00B2610E">
        <w:t xml:space="preserve">. </w:t>
      </w:r>
      <w:r w:rsidR="00465DA9">
        <w:t>T</w:t>
      </w:r>
      <w:r>
        <w:t>he commands</w:t>
      </w:r>
      <w:r w:rsidR="00B2610E">
        <w:t xml:space="preserve"> </w:t>
      </w:r>
      <w:r w:rsidR="00465DA9">
        <w:t xml:space="preserve">allow </w:t>
      </w:r>
      <w:r w:rsidR="00B2610E">
        <w:t>a</w:t>
      </w:r>
      <w:r w:rsidR="00465DA9">
        <w:t xml:space="preserve"> user to enter</w:t>
      </w:r>
      <w:r>
        <w:t xml:space="preserve"> </w:t>
      </w:r>
      <w:r w:rsidR="00465DA9">
        <w:t>both</w:t>
      </w:r>
      <w:r>
        <w:t xml:space="preserve"> num</w:t>
      </w:r>
      <w:r w:rsidR="00465DA9">
        <w:t>eric</w:t>
      </w:r>
      <w:r>
        <w:t xml:space="preserve"> and symbol</w:t>
      </w:r>
      <w:r w:rsidR="00465DA9">
        <w:t xml:space="preserve">ic </w:t>
      </w:r>
      <w:r w:rsidR="00B2610E">
        <w:t>coefficients</w:t>
      </w:r>
      <w:r>
        <w:t xml:space="preserve">. </w:t>
      </w:r>
      <w:r w:rsidR="00465DA9">
        <w:t xml:space="preserve">That is, one can perform specific numerical </w:t>
      </w:r>
      <w:r w:rsidR="00B2610E">
        <w:t xml:space="preserve">as well as abstract </w:t>
      </w:r>
      <w:r w:rsidR="00465DA9">
        <w:t xml:space="preserve">calculations. For example, you can check whether associativity hold for various operations or whether a particular vector identity </w:t>
      </w:r>
      <w:r w:rsidR="00B2610E">
        <w:t>extends</w:t>
      </w:r>
      <w:r w:rsidR="00465DA9">
        <w:t xml:space="preserve"> </w:t>
      </w:r>
      <w:r w:rsidR="00B2610E">
        <w:t xml:space="preserve">to </w:t>
      </w:r>
      <w:r w:rsidR="00465DA9">
        <w:t>bivectors</w:t>
      </w:r>
      <w:r w:rsidR="00B2610E">
        <w:t xml:space="preserve"> or from dimension 2 to dimension 8</w:t>
      </w:r>
      <w:r w:rsidR="00465DA9">
        <w:t>.</w:t>
      </w:r>
    </w:p>
    <w:p w14:paraId="2428DCB3" w14:textId="77777777" w:rsidR="00133BA9" w:rsidRDefault="00133BA9" w:rsidP="00133BA9"/>
    <w:p w14:paraId="1042B1F1" w14:textId="77777777" w:rsidR="00B2610E" w:rsidRDefault="00B2610E" w:rsidP="00133BA9">
      <w:r>
        <w:t>Unlike almost all packages of any kind written for Mathematica, this</w:t>
      </w:r>
      <w:r w:rsidR="00133BA9">
        <w:t xml:space="preserve"> package uses standard </w:t>
      </w:r>
      <w:r w:rsidR="00465DA9">
        <w:t>m</w:t>
      </w:r>
      <w:r w:rsidR="00133BA9">
        <w:t>athematica</w:t>
      </w:r>
      <w:r w:rsidR="00465DA9">
        <w:t>l</w:t>
      </w:r>
      <w:r w:rsidR="00133BA9">
        <w:t xml:space="preserve"> notation. </w:t>
      </w:r>
      <w:r>
        <w:t>This is because Mathematica is diabolic in its treatment of subscripted variables. However, in this package, f</w:t>
      </w:r>
      <w:r w:rsidR="00133BA9">
        <w:t>or example, 4-dimensional space-time</w:t>
      </w:r>
      <w:r>
        <w:t xml:space="preserve"> is represented by </w:t>
      </w:r>
      <w:r w:rsidR="00133BA9">
        <w:t xml:space="preserve">a </w:t>
      </w:r>
      <w:r w:rsidR="00465DA9">
        <w:t xml:space="preserve">vector </w:t>
      </w:r>
      <w:r w:rsidR="00133BA9">
        <w:t xml:space="preserve">basis </w:t>
      </w:r>
      <w:bookmarkStart w:id="2" w:name="OLE_LINK9"/>
      <w:bookmarkStart w:id="3" w:name="OLE_LINK10"/>
      <w:r w:rsidR="00465DA9">
        <w:t xml:space="preserve">written </w:t>
      </w:r>
      <w:r>
        <w:t>{</w:t>
      </w:r>
      <w:r w:rsidR="00133BA9">
        <w:t>e</w:t>
      </w:r>
      <w:r w:rsidR="00133BA9">
        <w:rPr>
          <w:vertAlign w:val="subscript"/>
        </w:rPr>
        <w:t>1</w:t>
      </w:r>
      <w:r w:rsidR="00133BA9">
        <w:t>,</w:t>
      </w:r>
      <w:bookmarkEnd w:id="2"/>
      <w:bookmarkEnd w:id="3"/>
      <w:r w:rsidR="00133BA9">
        <w:t xml:space="preserve"> e</w:t>
      </w:r>
      <w:r w:rsidR="00133BA9">
        <w:rPr>
          <w:vertAlign w:val="subscript"/>
        </w:rPr>
        <w:t>2</w:t>
      </w:r>
      <w:r w:rsidR="00133BA9">
        <w:t>, e</w:t>
      </w:r>
      <w:r w:rsidR="00BF05FB">
        <w:rPr>
          <w:vertAlign w:val="subscript"/>
        </w:rPr>
        <w:t>3</w:t>
      </w:r>
      <w:r w:rsidR="00133BA9">
        <w:t>, e</w:t>
      </w:r>
      <w:r w:rsidR="00133BA9">
        <w:rPr>
          <w:vertAlign w:val="subscript"/>
        </w:rPr>
        <w:t>4</w:t>
      </w:r>
      <w:r>
        <w:t xml:space="preserve">} </w:t>
      </w:r>
      <w:r w:rsidR="005F3E72">
        <w:t>and the</w:t>
      </w:r>
      <w:r w:rsidR="00133BA9">
        <w:t xml:space="preserve"> vector (1,2,3,4) </w:t>
      </w:r>
      <w:r>
        <w:t>is</w:t>
      </w:r>
      <w:r w:rsidR="00133BA9">
        <w:t xml:space="preserve"> </w:t>
      </w:r>
      <w:r>
        <w:t>denote</w:t>
      </w:r>
      <w:r w:rsidR="00133BA9">
        <w:t xml:space="preserve"> e</w:t>
      </w:r>
      <w:r w:rsidR="00133BA9">
        <w:rPr>
          <w:vertAlign w:val="subscript"/>
        </w:rPr>
        <w:t xml:space="preserve">1 </w:t>
      </w:r>
      <w:r w:rsidR="00133BA9">
        <w:t>+ 2 e</w:t>
      </w:r>
      <w:r w:rsidR="00133BA9">
        <w:rPr>
          <w:vertAlign w:val="subscript"/>
        </w:rPr>
        <w:t>2</w:t>
      </w:r>
      <w:r w:rsidR="00133BA9">
        <w:t xml:space="preserve"> + 3 e</w:t>
      </w:r>
      <w:r w:rsidR="00133BA9">
        <w:rPr>
          <w:vertAlign w:val="subscript"/>
        </w:rPr>
        <w:t>3</w:t>
      </w:r>
      <w:r w:rsidR="00133BA9">
        <w:t xml:space="preserve"> + 4 e</w:t>
      </w:r>
      <w:r w:rsidR="00133BA9">
        <w:rPr>
          <w:vertAlign w:val="subscript"/>
        </w:rPr>
        <w:t>4</w:t>
      </w:r>
      <w:r w:rsidR="00465DA9">
        <w:t>. If spacetime (rather than space) is chosen,</w:t>
      </w:r>
      <w:r w:rsidR="00133BA9">
        <w:t xml:space="preserve"> the convention </w:t>
      </w:r>
      <w:r w:rsidR="00465DA9">
        <w:t xml:space="preserve">is </w:t>
      </w:r>
      <w:r w:rsidR="00133BA9">
        <w:t>that e</w:t>
      </w:r>
      <w:r w:rsidR="00133BA9">
        <w:rPr>
          <w:vertAlign w:val="subscript"/>
        </w:rPr>
        <w:t>1</w:t>
      </w:r>
      <w:r w:rsidR="00133BA9">
        <w:t xml:space="preserve"> is the time axis. A palette is provided that allows the user to choose</w:t>
      </w:r>
      <w:r>
        <w:t xml:space="preserve"> space vs spacetime </w:t>
      </w:r>
      <w:proofErr w:type="gramStart"/>
      <w:r>
        <w:t xml:space="preserve">and  </w:t>
      </w:r>
      <w:r w:rsidR="00465DA9">
        <w:t>a</w:t>
      </w:r>
      <w:proofErr w:type="gramEnd"/>
      <w:r w:rsidR="00465DA9">
        <w:t xml:space="preserve"> quadratic form; that is, </w:t>
      </w:r>
      <w:r w:rsidR="00133BA9">
        <w:t>whether</w:t>
      </w:r>
      <w:bookmarkStart w:id="4" w:name="OLE_LINK11"/>
      <w:bookmarkStart w:id="5" w:name="OLE_LINK12"/>
      <w:r w:rsidR="00133BA9">
        <w:t xml:space="preserve"> e</w:t>
      </w:r>
      <w:r w:rsidR="00133BA9">
        <w:rPr>
          <w:vertAlign w:val="subscript"/>
        </w:rPr>
        <w:t>k</w:t>
      </w:r>
      <w:r w:rsidR="00133BA9">
        <w:rPr>
          <w:vertAlign w:val="superscript"/>
        </w:rPr>
        <w:t>2</w:t>
      </w:r>
      <w:r w:rsidR="00133BA9">
        <w:t xml:space="preserve"> = </w:t>
      </w:r>
      <w:r>
        <w:t>±</w:t>
      </w:r>
      <w:r w:rsidR="00133BA9">
        <w:t xml:space="preserve">1 </w:t>
      </w:r>
      <w:bookmarkEnd w:id="4"/>
      <w:bookmarkEnd w:id="5"/>
      <w:r>
        <w:t xml:space="preserve"> for all k</w:t>
      </w:r>
      <w:r w:rsidR="00133BA9">
        <w:t xml:space="preserve">. </w:t>
      </w:r>
      <w:r w:rsidR="00465DA9">
        <w:t>A</w:t>
      </w:r>
      <w:r w:rsidR="00133BA9">
        <w:t xml:space="preserve"> palett</w:t>
      </w:r>
      <w:r>
        <w:t>e also simplifies the entering of subscripted multivectors such as 3a</w:t>
      </w:r>
      <w:r>
        <w:rPr>
          <w:vertAlign w:val="subscript"/>
        </w:rPr>
        <w:t>0</w:t>
      </w:r>
      <w:r>
        <w:t xml:space="preserve"> + 2a</w:t>
      </w:r>
      <w:r>
        <w:rPr>
          <w:vertAlign w:val="subscript"/>
        </w:rPr>
        <w:t>1,3,4</w:t>
      </w:r>
      <w:r>
        <w:t xml:space="preserve"> e</w:t>
      </w:r>
      <w:r>
        <w:rPr>
          <w:vertAlign w:val="subscript"/>
        </w:rPr>
        <w:t>1</w:t>
      </w:r>
      <w:r>
        <w:t>e</w:t>
      </w:r>
      <w:r>
        <w:rPr>
          <w:vertAlign w:val="subscript"/>
        </w:rPr>
        <w:t>2</w:t>
      </w:r>
      <w:r>
        <w:t>e</w:t>
      </w:r>
      <w:r>
        <w:rPr>
          <w:vertAlign w:val="subscript"/>
        </w:rPr>
        <w:t>4</w:t>
      </w:r>
      <w:r>
        <w:t xml:space="preserve">. The palette can be used for entering GA operations, and the results are always given in readable, standard mathematical notation. The palette, as well, provides definitions and examples of all provided GA functions. </w:t>
      </w:r>
    </w:p>
    <w:p w14:paraId="4D85E56F" w14:textId="77777777" w:rsidR="00B2610E" w:rsidRDefault="00B2610E" w:rsidP="00133BA9"/>
    <w:p w14:paraId="4EA78C0E" w14:textId="69B12FDB" w:rsidR="00133BA9" w:rsidRPr="00B2610E" w:rsidRDefault="00B2610E" w:rsidP="00133BA9">
      <w:r>
        <w:t>Expressions and operations can also be entered directly without use of the palette.</w:t>
      </w:r>
    </w:p>
    <w:p w14:paraId="0CB4C470" w14:textId="77777777" w:rsidR="00133BA9" w:rsidRDefault="00133BA9" w:rsidP="00133BA9"/>
    <w:p w14:paraId="0DE0BDE1" w14:textId="77777777" w:rsidR="00133BA9" w:rsidRDefault="00133BA9" w:rsidP="00133BA9">
      <w:r>
        <w:t>Currently the package performs the following operations (all visible and easily entered from the palette):</w:t>
      </w:r>
    </w:p>
    <w:p w14:paraId="01E11544" w14:textId="77777777" w:rsidR="00133BA9" w:rsidRDefault="00133BA9" w:rsidP="00133BA9"/>
    <w:p w14:paraId="32F991D8" w14:textId="1E58386E" w:rsidR="00133BA9" w:rsidRDefault="00133BA9" w:rsidP="00133BA9">
      <w:pPr>
        <w:pStyle w:val="ListParagraph"/>
        <w:numPr>
          <w:ilvl w:val="0"/>
          <w:numId w:val="1"/>
        </w:numPr>
      </w:pPr>
      <w:r>
        <w:t>Geometric product</w:t>
      </w:r>
      <w:r w:rsidR="005A2B96">
        <w:t xml:space="preserve"> </w:t>
      </w:r>
      <w:bookmarkStart w:id="6" w:name="OLE_LINK13"/>
      <w:bookmarkStart w:id="7" w:name="OLE_LINK14"/>
      <w:r w:rsidR="005A2B96">
        <w:t>(with allowance for multivectors that span multiple grades)</w:t>
      </w:r>
      <w:bookmarkEnd w:id="6"/>
      <w:bookmarkEnd w:id="7"/>
    </w:p>
    <w:p w14:paraId="0A3C7EE3" w14:textId="77777777" w:rsidR="00B2610E" w:rsidRDefault="00B2610E" w:rsidP="00133BA9">
      <w:pPr>
        <w:pStyle w:val="ListParagraph"/>
        <w:numPr>
          <w:ilvl w:val="0"/>
          <w:numId w:val="1"/>
        </w:numPr>
      </w:pPr>
      <w:r>
        <w:t>Other GA products:</w:t>
      </w:r>
    </w:p>
    <w:p w14:paraId="22DF1285" w14:textId="0AEB62E7" w:rsidR="00133BA9" w:rsidRDefault="00133BA9" w:rsidP="00B2610E">
      <w:pPr>
        <w:pStyle w:val="ListParagraph"/>
        <w:numPr>
          <w:ilvl w:val="1"/>
          <w:numId w:val="1"/>
        </w:numPr>
      </w:pPr>
      <w:r>
        <w:t xml:space="preserve">Wedge </w:t>
      </w:r>
      <w:r w:rsidR="00BD60AD">
        <w:t>(a.k.a. exterior)</w:t>
      </w:r>
      <w:r w:rsidR="00B2610E">
        <w:t xml:space="preserve">, </w:t>
      </w:r>
      <w:r>
        <w:t>Dot</w:t>
      </w:r>
      <w:r w:rsidR="00B2610E">
        <w:t>, Scalar, Contractions</w:t>
      </w:r>
    </w:p>
    <w:p w14:paraId="4DFEB50C" w14:textId="0C1CE24E" w:rsidR="00133BA9" w:rsidRDefault="00133BA9" w:rsidP="00133BA9">
      <w:pPr>
        <w:pStyle w:val="ListParagraph"/>
        <w:numPr>
          <w:ilvl w:val="0"/>
          <w:numId w:val="1"/>
        </w:numPr>
      </w:pPr>
      <w:r>
        <w:t>Hodge Dual</w:t>
      </w:r>
    </w:p>
    <w:p w14:paraId="6EE18A1F" w14:textId="5DB6CE7C" w:rsidR="00133BA9" w:rsidRDefault="00133BA9" w:rsidP="00B2610E">
      <w:pPr>
        <w:pStyle w:val="ListParagraph"/>
        <w:numPr>
          <w:ilvl w:val="0"/>
          <w:numId w:val="1"/>
        </w:numPr>
      </w:pPr>
      <w:r>
        <w:t>Inverse</w:t>
      </w:r>
      <w:r w:rsidR="00B2610E">
        <w:t xml:space="preserve">, </w:t>
      </w:r>
      <w:r>
        <w:t>Reverse</w:t>
      </w:r>
    </w:p>
    <w:p w14:paraId="138A799C" w14:textId="1F9D6336" w:rsidR="00133BA9" w:rsidRDefault="00133BA9" w:rsidP="00B2610E">
      <w:pPr>
        <w:pStyle w:val="ListParagraph"/>
        <w:numPr>
          <w:ilvl w:val="0"/>
          <w:numId w:val="1"/>
        </w:numPr>
      </w:pPr>
      <w:r>
        <w:t>Norm</w:t>
      </w:r>
      <w:r w:rsidR="00B2610E">
        <w:t xml:space="preserve">, </w:t>
      </w:r>
      <w:proofErr w:type="spellStart"/>
      <w:r>
        <w:t>Gorm</w:t>
      </w:r>
      <w:proofErr w:type="spellEnd"/>
    </w:p>
    <w:p w14:paraId="73F3C503" w14:textId="75981778" w:rsidR="00B2610E" w:rsidRDefault="00B2610E" w:rsidP="00B2610E">
      <w:pPr>
        <w:pStyle w:val="ListParagraph"/>
        <w:numPr>
          <w:ilvl w:val="0"/>
          <w:numId w:val="1"/>
        </w:numPr>
      </w:pPr>
      <w:r>
        <w:t>Operations involving grades: slices, max grade, list of grades</w:t>
      </w:r>
    </w:p>
    <w:p w14:paraId="66C94F87" w14:textId="58BA34B5" w:rsidR="00B2610E" w:rsidRDefault="00B2610E" w:rsidP="00B2610E">
      <w:pPr>
        <w:pStyle w:val="ListParagraph"/>
        <w:numPr>
          <w:ilvl w:val="0"/>
          <w:numId w:val="1"/>
        </w:numPr>
      </w:pPr>
      <w:r>
        <w:t xml:space="preserve">Operations involving lists: conversion to a list and back, list of coefficients, list of subscripts, list of </w:t>
      </w:r>
      <w:r w:rsidRPr="00B2610E">
        <w:rPr>
          <w:b/>
          <w:bCs/>
        </w:rPr>
        <w:t>atoms</w:t>
      </w:r>
      <w:r>
        <w:t xml:space="preserve"> (i.e., subscripted </w:t>
      </w:r>
      <w:proofErr w:type="spellStart"/>
      <w:r>
        <w:t>e</w:t>
      </w:r>
      <w:r>
        <w:rPr>
          <w:vertAlign w:val="subscript"/>
        </w:rPr>
        <w:t>i</w:t>
      </w:r>
      <w:proofErr w:type="spellEnd"/>
      <w:r>
        <w:t>…</w:t>
      </w:r>
      <w:proofErr w:type="spellStart"/>
      <w:r>
        <w:t>e</w:t>
      </w:r>
      <w:r>
        <w:rPr>
          <w:vertAlign w:val="subscript"/>
        </w:rPr>
        <w:t>k</w:t>
      </w:r>
      <w:proofErr w:type="spellEnd"/>
      <w:r>
        <w:t>), signature of a list of atoms/coefficients/subscripts/etc.</w:t>
      </w:r>
    </w:p>
    <w:p w14:paraId="39799E84" w14:textId="3DC40E73" w:rsidR="005A2B96" w:rsidRDefault="00B2610E" w:rsidP="00133BA9">
      <w:pPr>
        <w:pStyle w:val="ListParagraph"/>
        <w:numPr>
          <w:ilvl w:val="0"/>
          <w:numId w:val="1"/>
        </w:numPr>
      </w:pPr>
      <w:bookmarkStart w:id="8" w:name="OLE_LINK40"/>
      <w:bookmarkStart w:id="9" w:name="OLE_LINK41"/>
      <w:r>
        <w:t>Grouping and expanding by atoms, and reducing of terms like e</w:t>
      </w:r>
      <w:r>
        <w:rPr>
          <w:vertAlign w:val="subscript"/>
        </w:rPr>
        <w:t>1</w:t>
      </w:r>
      <w:r>
        <w:rPr>
          <w:vertAlign w:val="superscript"/>
        </w:rPr>
        <w:t>2</w:t>
      </w:r>
    </w:p>
    <w:p w14:paraId="256B160A" w14:textId="7F9D96AE" w:rsidR="00B2610E" w:rsidRDefault="00B2610E" w:rsidP="00133BA9">
      <w:pPr>
        <w:pStyle w:val="ListParagraph"/>
        <w:numPr>
          <w:ilvl w:val="0"/>
          <w:numId w:val="1"/>
        </w:numPr>
      </w:pPr>
      <w:r>
        <w:lastRenderedPageBreak/>
        <w:t>Typing (i.e., inputting) vecto</w:t>
      </w:r>
      <w:r w:rsidR="00AD3844">
        <w:t>r</w:t>
      </w:r>
      <w:r>
        <w:t>s, bivectors, blades, multivector</w:t>
      </w:r>
      <w:r w:rsidR="00AD3844">
        <w:t>s</w:t>
      </w:r>
      <w:r>
        <w:t>, rotors, even/odd/graded multivectors, pseudoscalar, atoms, complex and quaternionic GA expressions</w:t>
      </w:r>
    </w:p>
    <w:p w14:paraId="6021646C" w14:textId="534C6ACA" w:rsidR="00B2610E" w:rsidRDefault="00B2610E" w:rsidP="00133BA9">
      <w:pPr>
        <w:pStyle w:val="ListParagraph"/>
        <w:numPr>
          <w:ilvl w:val="0"/>
          <w:numId w:val="1"/>
        </w:numPr>
      </w:pPr>
      <w:r>
        <w:t>Switching dimensions, metric signature, space vs spacetime on-the-fly</w:t>
      </w:r>
    </w:p>
    <w:bookmarkEnd w:id="8"/>
    <w:bookmarkEnd w:id="9"/>
    <w:p w14:paraId="426807E0" w14:textId="77777777" w:rsidR="00133BA9" w:rsidRDefault="00133BA9" w:rsidP="00133BA9"/>
    <w:p w14:paraId="2C02EAAD" w14:textId="066AA7DE" w:rsidR="00133BA9" w:rsidRDefault="00133BA9" w:rsidP="00133BA9">
      <w:r>
        <w:t xml:space="preserve">The palette simplifies typing of subscripted multivectors by providing a number of </w:t>
      </w:r>
      <w:r w:rsidR="00F93B27">
        <w:t>expressions</w:t>
      </w:r>
      <w:r>
        <w:t xml:space="preserve"> at the click of the mouse. If the desired expression is not there it </w:t>
      </w:r>
      <w:r w:rsidR="00465DA9">
        <w:t xml:space="preserve">still </w:t>
      </w:r>
      <w:r>
        <w:t xml:space="preserve">may be quickly entered by modifying one of the palette items. The palette also allows the user to enter the symbols for the various </w:t>
      </w:r>
      <w:r w:rsidR="00465DA9">
        <w:t>GA operations</w:t>
      </w:r>
      <w:r>
        <w:t xml:space="preserve"> with </w:t>
      </w:r>
      <w:r w:rsidR="00465DA9">
        <w:t xml:space="preserve">a </w:t>
      </w:r>
      <w:r>
        <w:t>mouse click.</w:t>
      </w:r>
    </w:p>
    <w:p w14:paraId="06F1C193" w14:textId="77777777" w:rsidR="00133BA9" w:rsidRDefault="00133BA9" w:rsidP="00133BA9"/>
    <w:p w14:paraId="039BC5E6" w14:textId="6B65721E" w:rsidR="00133BA9" w:rsidRDefault="00133BA9" w:rsidP="00133BA9">
      <w:r>
        <w:t xml:space="preserve">The author welcomes collaboration. The package has </w:t>
      </w:r>
      <w:r w:rsidR="00B2610E">
        <w:t xml:space="preserve">been extensively tested by the author but has </w:t>
      </w:r>
      <w:r>
        <w:t>not been beta tested</w:t>
      </w:r>
      <w:r w:rsidR="00B2610E">
        <w:t>,</w:t>
      </w:r>
      <w:r>
        <w:t xml:space="preserve"> so feedback on errors or quirks would be welcome. In particular, Mathematica 10 introduced a </w:t>
      </w:r>
      <w:r w:rsidR="00465DA9">
        <w:t xml:space="preserve">nasty </w:t>
      </w:r>
      <w:r>
        <w:t xml:space="preserve">complication </w:t>
      </w:r>
      <w:r w:rsidR="00465DA9">
        <w:t>called</w:t>
      </w:r>
      <w:r>
        <w:t xml:space="preserve"> </w:t>
      </w:r>
      <w:r w:rsidR="005F3E72">
        <w:t>“</w:t>
      </w:r>
      <w:r>
        <w:t>shadowing</w:t>
      </w:r>
      <w:r w:rsidR="005F3E72">
        <w:t>”</w:t>
      </w:r>
      <w:r>
        <w:t xml:space="preserve"> errors and the author has </w:t>
      </w:r>
      <w:r w:rsidR="00465DA9">
        <w:t xml:space="preserve">incorporated a process </w:t>
      </w:r>
      <w:r>
        <w:t xml:space="preserve">to prevent such errors from popping up. Still, there </w:t>
      </w:r>
      <w:r w:rsidR="00465DA9">
        <w:t>may be</w:t>
      </w:r>
      <w:r>
        <w:t xml:space="preserve"> certain </w:t>
      </w:r>
      <w:r w:rsidR="005F3E72">
        <w:t>actions</w:t>
      </w:r>
      <w:r>
        <w:t xml:space="preserve"> a user can make to invoke these errors</w:t>
      </w:r>
      <w:r w:rsidR="00465DA9">
        <w:t xml:space="preserve">. If so, they can </w:t>
      </w:r>
      <w:r>
        <w:t xml:space="preserve">hopefully </w:t>
      </w:r>
      <w:r w:rsidR="00465DA9">
        <w:t xml:space="preserve">be </w:t>
      </w:r>
      <w:r>
        <w:t xml:space="preserve">remedied by following the instructions in the Documentation. </w:t>
      </w:r>
    </w:p>
    <w:p w14:paraId="55171E56" w14:textId="77777777" w:rsidR="00465DA9" w:rsidRDefault="00465DA9" w:rsidP="00133BA9">
      <w:bookmarkStart w:id="10" w:name="OLE_LINK42"/>
      <w:bookmarkStart w:id="11" w:name="OLE_LINK43"/>
    </w:p>
    <w:p w14:paraId="5997AA7F" w14:textId="22028B95" w:rsidR="005A2B96" w:rsidRPr="00133BA9" w:rsidRDefault="005A2B96" w:rsidP="00133BA9">
      <w:r>
        <w:t xml:space="preserve">New users should </w:t>
      </w:r>
      <w:r w:rsidR="00465DA9">
        <w:t>next read</w:t>
      </w:r>
      <w:r>
        <w:t xml:space="preserve"> the Installation Guide</w:t>
      </w:r>
      <w:r w:rsidR="009F461E">
        <w:t xml:space="preserve">, then Quick Start, Examples, and Documentation (which is very short </w:t>
      </w:r>
      <w:r w:rsidR="00AD3844">
        <w:t>Examples provides the bulk of the documentation</w:t>
      </w:r>
      <w:bookmarkStart w:id="12" w:name="_GoBack"/>
      <w:bookmarkEnd w:id="12"/>
      <w:r w:rsidR="009F461E">
        <w:t>.)</w:t>
      </w:r>
      <w:r w:rsidR="00801030">
        <w:t xml:space="preserve"> </w:t>
      </w:r>
      <w:proofErr w:type="gramStart"/>
      <w:r>
        <w:t>.</w:t>
      </w:r>
      <w:bookmarkEnd w:id="10"/>
      <w:bookmarkEnd w:id="11"/>
      <w:proofErr w:type="gramEnd"/>
    </w:p>
    <w:sectPr w:rsidR="005A2B96" w:rsidRPr="00133BA9"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B4986"/>
    <w:multiLevelType w:val="hybridMultilevel"/>
    <w:tmpl w:val="9A808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A9"/>
    <w:rsid w:val="00133BA9"/>
    <w:rsid w:val="00444155"/>
    <w:rsid w:val="004621E6"/>
    <w:rsid w:val="00465DA9"/>
    <w:rsid w:val="004B5A51"/>
    <w:rsid w:val="005A2B96"/>
    <w:rsid w:val="005F3E72"/>
    <w:rsid w:val="00801030"/>
    <w:rsid w:val="009062F9"/>
    <w:rsid w:val="00913ABE"/>
    <w:rsid w:val="009F461E"/>
    <w:rsid w:val="00AD3844"/>
    <w:rsid w:val="00B2610E"/>
    <w:rsid w:val="00BD60AD"/>
    <w:rsid w:val="00BF05FB"/>
    <w:rsid w:val="00DF56BC"/>
    <w:rsid w:val="00F9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FFE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BA9"/>
    <w:pPr>
      <w:ind w:left="720"/>
      <w:contextualSpacing/>
    </w:pPr>
  </w:style>
  <w:style w:type="paragraph" w:styleId="BalloonText">
    <w:name w:val="Balloon Text"/>
    <w:basedOn w:val="Normal"/>
    <w:link w:val="BalloonTextChar"/>
    <w:uiPriority w:val="99"/>
    <w:semiHidden/>
    <w:unhideWhenUsed/>
    <w:rsid w:val="008010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10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cp:revision>
  <cp:lastPrinted>2019-10-12T20:31:00Z</cp:lastPrinted>
  <dcterms:created xsi:type="dcterms:W3CDTF">2019-10-12T20:31:00Z</dcterms:created>
  <dcterms:modified xsi:type="dcterms:W3CDTF">2019-12-08T03:07:00Z</dcterms:modified>
</cp:coreProperties>
</file>