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header2.xml" ContentType="application/vnd.openxmlformats-officedocument.wordprocessingml.header+xml"/>
  <Override PartName="/word/charts/chart1.xml" ContentType="application/vnd.openxmlformats-officedocument.drawingml.chart+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C9D7E6">
    <v:background fillcolor="#DEE6EF">
      <v:fill angle="1" type="gradient" color2="#B4C7DC"/>
    </v:background>
  </w:background>
  <w:body>
    <w:p>
      <w:pPr>
        <w:pStyle w:val="Normal"/>
        <w:bidi w:val="1"/>
        <w:ind w:hanging="0" w:start="709"/>
        <w:jc w:val="start"/>
        <w:rPr>
          <w:rFonts w:cs="Times New Roman"/>
          <w:b/>
          <w:bCs/>
          <w:sz w:val="32"/>
          <w:szCs w:val="32"/>
          <w:lang w:bidi="ar-IQ"/>
        </w:rPr>
      </w:pPr>
      <w:r>
        <w:rPr>
          <w:rFonts w:cs="Times New Roman"/>
          <w:b/>
          <w:b/>
          <w:bCs/>
          <w:sz w:val="32"/>
          <w:sz w:val="32"/>
          <w:szCs w:val="32"/>
          <w:rtl w:val="true"/>
          <w:lang w:bidi="ar-IQ"/>
        </w:rPr>
        <w:t>فوائد كتابة تقارير عن وضع الشركة الاقتصادي</w:t>
      </w:r>
      <w:r>
        <w:rPr>
          <w:rFonts w:cs="Times New Roman"/>
          <w:b/>
          <w:bCs/>
          <w:sz w:val="32"/>
          <w:szCs w:val="32"/>
          <w:rtl w:val="true"/>
          <w:lang w:bidi="ar-IQ"/>
        </w:rPr>
        <w:t>:</w:t>
      </w:r>
    </w:p>
    <w:p>
      <w:pPr>
        <w:pStyle w:val="Normal"/>
        <w:bidi w:val="1"/>
        <w:ind w:hanging="0" w:start="709"/>
        <w:jc w:val="start"/>
        <w:rPr>
          <w:rFonts w:cs="Times New Roman"/>
          <w:b/>
          <w:bCs/>
          <w:sz w:val="32"/>
          <w:szCs w:val="32"/>
          <w:lang w:bidi="ar-IQ"/>
        </w:rPr>
      </w:pPr>
      <w:r>
        <w:rPr>
          <w:rFonts w:cs="Times New Roman"/>
          <w:b/>
          <w:bCs/>
          <w:sz w:val="32"/>
          <w:szCs w:val="32"/>
          <w:rtl w:val="true"/>
          <w:lang w:bidi="ar-IQ"/>
        </w:rPr>
      </w:r>
    </w:p>
    <w:p>
      <w:pPr>
        <w:pStyle w:val="Heading3"/>
        <w:numPr>
          <w:ilvl w:val="2"/>
          <w:numId w:val="1"/>
        </w:numPr>
        <w:bidi w:val="1"/>
        <w:jc w:val="start"/>
        <w:rPr>
          <w:rFonts w:cs="Times New Roman"/>
          <w:b/>
          <w:bCs/>
          <w:sz w:val="32"/>
          <w:szCs w:val="32"/>
          <w:lang w:bidi="ar-IQ"/>
        </w:rPr>
      </w:pPr>
      <w:r>
        <w:rPr>
          <w:rStyle w:val="Strong"/>
          <w:rFonts w:cs="Times New Roman"/>
          <w:b/>
          <w:b/>
          <w:bCs/>
          <w:sz w:val="32"/>
          <w:sz w:val="32"/>
          <w:szCs w:val="32"/>
          <w:rtl w:val="true"/>
          <w:lang w:bidi="ar-IQ"/>
        </w:rPr>
        <w:t>دعم اتخاذ القرارات الاستراتيجية</w:t>
      </w:r>
    </w:p>
    <w:p>
      <w:pPr>
        <w:pStyle w:val="BodyText"/>
        <w:numPr>
          <w:ilvl w:val="0"/>
          <w:numId w:val="1"/>
        </w:numPr>
        <w:bidi w:val="1"/>
        <w:jc w:val="start"/>
        <w:rPr>
          <w:rFonts w:cs="Times New Roman"/>
        </w:rPr>
      </w:pPr>
      <w:r>
        <w:rPr>
          <w:rFonts w:cs="Times New Roman"/>
          <w:rtl w:val="true"/>
        </w:rPr>
        <w:t>توفر التقارير الاقتصادية صورة شاملة ومحدثة عن الوضع المالي والتجاري للشركة، مما يساعد الإدارة العليا في اتخاذ قرارات مبنية على حقائق، مثل التوسع، خفض التكاليف، الاستثمار في مشاريع جديدة، أو إعادة هيكلة الموارد</w:t>
      </w:r>
      <w:r>
        <w:rPr>
          <w:rFonts w:cs="Times New Roman"/>
          <w:rtl w:val="true"/>
        </w:rPr>
        <w:t>.</w:t>
      </w:r>
    </w:p>
    <w:p>
      <w:pPr>
        <w:pStyle w:val="Heading3"/>
        <w:numPr>
          <w:ilvl w:val="2"/>
          <w:numId w:val="1"/>
        </w:numPr>
        <w:bidi w:val="1"/>
        <w:jc w:val="start"/>
        <w:rPr/>
      </w:pPr>
      <w:r>
        <w:rPr>
          <w:rFonts w:cs="Times New Roman"/>
          <w:rtl w:val="true"/>
        </w:rPr>
        <w:t xml:space="preserve"> </w:t>
      </w:r>
      <w:r>
        <w:rPr>
          <w:rStyle w:val="Strong"/>
          <w:rFonts w:cs="Times New Roman"/>
          <w:b/>
          <w:b/>
          <w:bCs/>
          <w:rtl w:val="true"/>
        </w:rPr>
        <w:t>تحليل الأداء المالي بدقة</w:t>
      </w:r>
    </w:p>
    <w:p>
      <w:pPr>
        <w:pStyle w:val="BodyText"/>
        <w:numPr>
          <w:ilvl w:val="0"/>
          <w:numId w:val="1"/>
        </w:numPr>
        <w:bidi w:val="1"/>
        <w:jc w:val="start"/>
        <w:rPr>
          <w:rFonts w:cs="Times New Roman"/>
        </w:rPr>
      </w:pPr>
      <w:r>
        <w:rPr>
          <w:rFonts w:cs="Times New Roman"/>
          <w:rtl w:val="true"/>
        </w:rPr>
        <w:t>تساعد التقارير على تقييم أداء الشركة من حيث الإيرادات، الأرباح، النفقات، السيولة، والديون، مما يمكّن الإدارة من معرفة ما إذا كانت الأهداف المالية قد تحققت أم لا، وتحليل الأسباب وراء الأداء المرتفع أو المنخفض</w:t>
      </w:r>
      <w:r>
        <w:rPr>
          <w:rFonts w:cs="Times New Roman"/>
          <w:rtl w:val="true"/>
        </w:rPr>
        <w:t>.</w:t>
      </w:r>
    </w:p>
    <w:p>
      <w:pPr>
        <w:pStyle w:val="Heading3"/>
        <w:numPr>
          <w:ilvl w:val="2"/>
          <w:numId w:val="1"/>
        </w:numPr>
        <w:bidi w:val="1"/>
        <w:jc w:val="start"/>
        <w:rPr/>
      </w:pPr>
      <w:r>
        <w:rPr>
          <w:rFonts w:cs="Times New Roman"/>
          <w:rtl w:val="true"/>
        </w:rPr>
        <w:t xml:space="preserve"> </w:t>
      </w:r>
      <w:r>
        <w:rPr>
          <w:rStyle w:val="Strong"/>
          <w:rFonts w:cs="Times New Roman"/>
          <w:b/>
          <w:b/>
          <w:bCs/>
          <w:rtl w:val="true"/>
        </w:rPr>
        <w:t>الكشف المبكر عن المشكلات</w:t>
      </w:r>
    </w:p>
    <w:p>
      <w:pPr>
        <w:pStyle w:val="BodyText"/>
        <w:numPr>
          <w:ilvl w:val="0"/>
          <w:numId w:val="1"/>
        </w:numPr>
        <w:bidi w:val="1"/>
        <w:jc w:val="start"/>
        <w:rPr>
          <w:rFonts w:cs="Times New Roman"/>
        </w:rPr>
      </w:pPr>
      <w:r>
        <w:rPr>
          <w:rFonts w:cs="Times New Roman"/>
          <w:rtl w:val="true"/>
        </w:rPr>
        <w:t>من خلال تحليل البيانات الاقتصادية بانتظام، يمكن اكتشاف المشكلات قبل تفاقمها، مثل انخفاض السيولة أو تراجع في الأرباح أو تزايد الديون، مما يتيح فرصة لإصلاح الوضع في الوقت المناسب</w:t>
      </w:r>
      <w:r>
        <w:rPr>
          <w:rFonts w:cs="Times New Roman"/>
          <w:rtl w:val="true"/>
        </w:rPr>
        <w:t>.</w:t>
      </w:r>
    </w:p>
    <w:p>
      <w:pPr>
        <w:pStyle w:val="Heading3"/>
        <w:numPr>
          <w:ilvl w:val="2"/>
          <w:numId w:val="1"/>
        </w:numPr>
        <w:bidi w:val="1"/>
        <w:jc w:val="start"/>
        <w:rPr/>
      </w:pPr>
      <w:r>
        <w:rPr>
          <w:rStyle w:val="Strong"/>
          <w:rFonts w:cs="Times New Roman"/>
          <w:b/>
          <w:b/>
          <w:bCs/>
          <w:rtl w:val="true"/>
        </w:rPr>
        <w:t>جذب المستثمرين والشركاء</w:t>
      </w:r>
    </w:p>
    <w:p>
      <w:pPr>
        <w:pStyle w:val="BodyText"/>
        <w:numPr>
          <w:ilvl w:val="0"/>
          <w:numId w:val="0"/>
        </w:numPr>
        <w:bidi w:val="1"/>
        <w:ind w:hanging="0" w:start="1429"/>
        <w:jc w:val="start"/>
        <w:rPr>
          <w:rFonts w:cs="Times New Roman"/>
          <w:lang w:bidi="ar-IQ"/>
        </w:rPr>
      </w:pPr>
      <w:r>
        <w:rPr>
          <w:rFonts w:cs="Times New Roman"/>
          <w:rtl w:val="true"/>
          <w:lang w:bidi="ar-IQ"/>
        </w:rPr>
        <mc:AlternateContent>
          <mc:Choice Requires="wps">
            <w:drawing>
              <wp:anchor behindDoc="0" distT="363220" distB="0" distL="635" distR="1270" simplePos="0" locked="0" layoutInCell="1" allowOverlap="1" relativeHeight="2">
                <wp:simplePos x="0" y="0"/>
                <wp:positionH relativeFrom="column">
                  <wp:posOffset>573405</wp:posOffset>
                </wp:positionH>
                <wp:positionV relativeFrom="paragraph">
                  <wp:posOffset>329565</wp:posOffset>
                </wp:positionV>
                <wp:extent cx="4839970" cy="1247775"/>
                <wp:effectExtent l="635" t="363220" r="1270" b="0"/>
                <wp:wrapNone/>
                <wp:docPr id="1" name="شكل 1"/>
                <a:graphic xmlns:a="http://schemas.openxmlformats.org/drawingml/2006/main">
                  <a:graphicData uri="http://schemas.microsoft.com/office/word/2010/wordprocessingShape">
                    <wps:wsp>
                      <wps:cNvSpPr/>
                      <wps:spPr>
                        <a:xfrm>
                          <a:off x="0" y="0"/>
                          <a:ext cx="4839840" cy="1247760"/>
                        </a:xfrm>
                        <a:prstGeom prst="wedgeRectCallout">
                          <a:avLst>
                            <a:gd name="adj1" fmla="val 5314"/>
                            <a:gd name="adj2" fmla="val -78990"/>
                          </a:avLst>
                        </a:prstGeom>
                        <a:solidFill>
                          <a:srgbClr val="729fcf"/>
                        </a:solidFill>
                        <a:ln w="0">
                          <a:solidFill>
                            <a:srgbClr val="3465a4"/>
                          </a:solidFill>
                        </a:ln>
                      </wps:spPr>
                      <wps:style>
                        <a:lnRef idx="0"/>
                        <a:fillRef idx="0"/>
                        <a:effectRef idx="0"/>
                        <a:fontRef idx="minor"/>
                      </wps:style>
                      <wps:txbx>
                        <w:txbxContent>
                          <w:p>
                            <w:pPr>
                              <w:pStyle w:val="user4"/>
                              <w:overflowPunct w:val="false"/>
                              <w:bidi w:val="0"/>
                              <w:spacing w:before="238" w:after="198"/>
                              <w:jc w:val="center"/>
                              <w:rPr>
                                <w:color w:val="000000"/>
                              </w:rPr>
                            </w:pPr>
                            <w:r>
                              <w:rPr>
                                <w:color w:val="000000"/>
                                <w:sz w:val="20"/>
                                <w:sz w:val="20"/>
                                <w:szCs w:val="20"/>
                                <w:rtl w:val="true"/>
                              </w:rPr>
                              <w:t>التقارير الاقتصادية الجيدة والمنتظمة تعطي صورة احترافية عن الشركة</w:t>
                            </w:r>
                            <w:r>
                              <w:rPr>
                                <w:color w:val="000000"/>
                                <w:sz w:val="20"/>
                                <w:sz w:val="20"/>
                                <w:szCs w:val="20"/>
                              </w:rPr>
                              <w:t>،</w:t>
                            </w:r>
                          </w:p>
                          <w:p>
                            <w:pPr>
                              <w:pStyle w:val="user4"/>
                              <w:overflowPunct w:val="false"/>
                              <w:bidi w:val="0"/>
                              <w:spacing w:before="238" w:after="198"/>
                              <w:jc w:val="center"/>
                              <w:rPr>
                                <w:color w:val="000000"/>
                              </w:rPr>
                            </w:pPr>
                            <w:r>
                              <w:rPr>
                                <w:color w:val="000000"/>
                                <w:sz w:val="20"/>
                                <w:szCs w:val="20"/>
                              </w:rPr>
                              <w:t xml:space="preserve"> </w:t>
                            </w:r>
                            <w:r>
                              <w:rPr>
                                <w:color w:val="000000"/>
                                <w:sz w:val="20"/>
                                <w:sz w:val="20"/>
                                <w:szCs w:val="20"/>
                                <w:rtl w:val="true"/>
                              </w:rPr>
                              <w:t>مما يشجع المستثمرين على الاستثمار</w:t>
                            </w:r>
                          </w:p>
                          <w:p>
                            <w:pPr>
                              <w:pStyle w:val="user4"/>
                              <w:overflowPunct w:val="false"/>
                              <w:bidi w:val="0"/>
                              <w:spacing w:before="238" w:after="198"/>
                              <w:jc w:val="center"/>
                              <w:rPr>
                                <w:color w:val="000000"/>
                              </w:rPr>
                            </w:pPr>
                            <w:r>
                              <w:rPr>
                                <w:color w:val="000000"/>
                                <w:sz w:val="20"/>
                                <w:sz w:val="20"/>
                                <w:szCs w:val="20"/>
                              </w:rPr>
                              <w:t xml:space="preserve">، </w:t>
                            </w:r>
                            <w:r>
                              <w:rPr>
                                <w:color w:val="000000"/>
                                <w:sz w:val="20"/>
                                <w:sz w:val="20"/>
                                <w:szCs w:val="20"/>
                                <w:rtl w:val="true"/>
                              </w:rPr>
                              <w:t>والشركاء على التعاون، نظراً لوجود معلومات واضحة عن العوائد، المخاطر، والنمو المحتمل</w:t>
                            </w:r>
                            <w:r>
                              <w:rPr>
                                <w:color w:val="000000"/>
                                <w:sz w:val="20"/>
                                <w:szCs w:val="20"/>
                              </w:rPr>
                              <w:t>.</w:t>
                            </w:r>
                          </w:p>
                          <w:p>
                            <w:pPr>
                              <w:pStyle w:val="user4"/>
                              <w:overflowPunct w:val="false"/>
                              <w:bidi w:val="0"/>
                              <w:spacing w:before="238" w:after="198"/>
                              <w:jc w:val="center"/>
                              <w:rPr>
                                <w:color w:val="000000"/>
                              </w:rPr>
                            </w:pPr>
                            <w:r>
                              <w:rPr>
                                <w:color w:val="000000"/>
                              </w:rPr>
                            </w:r>
                          </w:p>
                        </w:txbxContent>
                      </wps:txbx>
                      <wps:bodyPr lIns="0" rIns="0" tIns="0" bIns="0" anchor="ctr">
                        <a:noAutofit/>
                      </wps:bodyPr>
                    </wps:wsp>
                  </a:graphicData>
                </a:graphic>
              </wp:anchor>
            </w:drawing>
          </mc:Choice>
          <mc:Fallback>
            <w:pict>
              <v:shapetype id="_x0000_t61" coordsize="21600,21600" o:spt="61" adj="13500,-4500" path="m,l@11,l@20@28l@12,l21600,l21600@15l@22@30l21600@16l21600,21600l@12,21600l@24@32l@11,21600l,21600l0@16l@18@26l0@15xe">
                <v:stroke joinstyle="miter"/>
                <v:formulas>
                  <v:f eqn="val #1"/>
                  <v:f eqn="val #0"/>
                  <v:f eqn="sum 10800 @0 0"/>
                  <v:f eqn="sum 10800 @1 0"/>
                  <v:f eqn="sum @2 0 10800"/>
                  <v:f eqn="sum @3 0 10800"/>
                  <v:f eqn="abs @1"/>
                  <v:f eqn="abs @0"/>
                  <v:f eqn="sum @6 0 @7"/>
                  <v:f eqn="if @0 7 2"/>
                  <v:f eqn="if @0 10 5"/>
                  <v:f eqn="prod 5400 @9 3"/>
                  <v:f eqn="prod 5400 @10 3"/>
                  <v:f eqn="if @1 7 2"/>
                  <v:f eqn="if @1 10 5"/>
                  <v:f eqn="prod 5400 @13 3"/>
                  <v:f eqn="prod 5400 @14 3"/>
                  <v:f eqn="if @0 0 @2"/>
                  <v:f eqn="if @8 0 @17"/>
                  <v:f eqn="if @1 @11 @2"/>
                  <v:f eqn="if @8 @19 @11"/>
                  <v:f eqn="if @0 @2 width"/>
                  <v:f eqn="if @8 width @21"/>
                  <v:f eqn="if @1 @2 @11"/>
                  <v:f eqn="if @8 @23 @11"/>
                  <v:f eqn="if @0 @15 @3"/>
                  <v:f eqn="if @8 @15 @25"/>
                  <v:f eqn="if @1 0 @3"/>
                  <v:f eqn="if @8 @27 0"/>
                  <v:f eqn="if @0 @3 @15"/>
                  <v:f eqn="if @8 @15 @29"/>
                  <v:f eqn="if @1 @3 height"/>
                  <v:f eqn="if @8 @31 height"/>
                </v:formulas>
                <v:path gradientshapeok="t" o:connecttype="rect" textboxrect="0,0,21600,21600"/>
                <v:handles>
                  <v:h position="@2,@3"/>
                </v:handles>
              </v:shapetype>
              <v:shape id="shape_0" ID="شكل 1" path="m0,0l-2147483628,0l-2147483616,-2147483608l-2147483626,0l-2147483602,0l-2147483602,-2147483622l-2147483614,-2147483606l-2147483602,-2147483620l-2147483602,-2147483603l-2147483626,-2147483603l-2147483612,-2147483604l-2147483628,-2147483603l0,-2147483603l0,-2147483620l-2147483618,-2147483610l0,-2147483622xe" fillcolor="#729fcf" stroked="t" o:allowincell="f" style="position:absolute;margin-left:45.15pt;margin-top:25.95pt;width:381.05pt;height:98.2pt;mso-wrap-style:square;v-text-anchor:middle" type="_x0000_t61">
                <v:fill o:detectmouseclick="t" type="solid" color2="#8d6030"/>
                <v:stroke color="#3465a4" joinstyle="round" endcap="flat"/>
                <v:textbox>
                  <w:txbxContent>
                    <w:p>
                      <w:pPr>
                        <w:pStyle w:val="user4"/>
                        <w:overflowPunct w:val="false"/>
                        <w:bidi w:val="0"/>
                        <w:spacing w:before="238" w:after="198"/>
                        <w:jc w:val="center"/>
                        <w:rPr>
                          <w:color w:val="000000"/>
                        </w:rPr>
                      </w:pPr>
                      <w:r>
                        <w:rPr>
                          <w:color w:val="000000"/>
                          <w:sz w:val="20"/>
                          <w:sz w:val="20"/>
                          <w:szCs w:val="20"/>
                          <w:rtl w:val="true"/>
                        </w:rPr>
                        <w:t>التقارير الاقتصادية الجيدة والمنتظمة تعطي صورة احترافية عن الشركة</w:t>
                      </w:r>
                      <w:r>
                        <w:rPr>
                          <w:color w:val="000000"/>
                          <w:sz w:val="20"/>
                          <w:sz w:val="20"/>
                          <w:szCs w:val="20"/>
                        </w:rPr>
                        <w:t>،</w:t>
                      </w:r>
                    </w:p>
                    <w:p>
                      <w:pPr>
                        <w:pStyle w:val="user4"/>
                        <w:overflowPunct w:val="false"/>
                        <w:bidi w:val="0"/>
                        <w:spacing w:before="238" w:after="198"/>
                        <w:jc w:val="center"/>
                        <w:rPr>
                          <w:color w:val="000000"/>
                        </w:rPr>
                      </w:pPr>
                      <w:r>
                        <w:rPr>
                          <w:color w:val="000000"/>
                          <w:sz w:val="20"/>
                          <w:szCs w:val="20"/>
                        </w:rPr>
                        <w:t xml:space="preserve"> </w:t>
                      </w:r>
                      <w:r>
                        <w:rPr>
                          <w:color w:val="000000"/>
                          <w:sz w:val="20"/>
                          <w:sz w:val="20"/>
                          <w:szCs w:val="20"/>
                          <w:rtl w:val="true"/>
                        </w:rPr>
                        <w:t>مما يشجع المستثمرين على الاستثمار</w:t>
                      </w:r>
                    </w:p>
                    <w:p>
                      <w:pPr>
                        <w:pStyle w:val="user4"/>
                        <w:overflowPunct w:val="false"/>
                        <w:bidi w:val="0"/>
                        <w:spacing w:before="238" w:after="198"/>
                        <w:jc w:val="center"/>
                        <w:rPr>
                          <w:color w:val="000000"/>
                        </w:rPr>
                      </w:pPr>
                      <w:r>
                        <w:rPr>
                          <w:color w:val="000000"/>
                          <w:sz w:val="20"/>
                          <w:sz w:val="20"/>
                          <w:szCs w:val="20"/>
                        </w:rPr>
                        <w:t xml:space="preserve">، </w:t>
                      </w:r>
                      <w:r>
                        <w:rPr>
                          <w:color w:val="000000"/>
                          <w:sz w:val="20"/>
                          <w:sz w:val="20"/>
                          <w:szCs w:val="20"/>
                          <w:rtl w:val="true"/>
                        </w:rPr>
                        <w:t>والشركاء على التعاون، نظراً لوجود معلومات واضحة عن العوائد، المخاطر، والنمو المحتمل</w:t>
                      </w:r>
                      <w:r>
                        <w:rPr>
                          <w:color w:val="000000"/>
                          <w:sz w:val="20"/>
                          <w:szCs w:val="20"/>
                        </w:rPr>
                        <w:t>.</w:t>
                      </w:r>
                    </w:p>
                    <w:p>
                      <w:pPr>
                        <w:pStyle w:val="user4"/>
                        <w:overflowPunct w:val="false"/>
                        <w:bidi w:val="0"/>
                        <w:spacing w:before="238" w:after="198"/>
                        <w:jc w:val="center"/>
                        <w:rPr>
                          <w:color w:val="000000"/>
                        </w:rPr>
                      </w:pPr>
                      <w:r>
                        <w:rPr>
                          <w:color w:val="000000"/>
                        </w:rPr>
                      </w:r>
                    </w:p>
                  </w:txbxContent>
                </v:textbox>
                <w10:wrap type="none"/>
              </v:shape>
            </w:pict>
          </mc:Fallback>
        </mc:AlternateContent>
      </w:r>
    </w:p>
    <w:p>
      <w:pPr>
        <w:pStyle w:val="BodyText"/>
        <w:bidi w:val="1"/>
        <w:jc w:val="start"/>
        <w:rPr>
          <w:rFonts w:cs="Times New Roman"/>
          <w:lang w:bidi="ar-IQ"/>
        </w:rPr>
      </w:pPr>
      <w:r>
        <w:rPr>
          <w:rFonts w:cs="Times New Roman"/>
          <w:rtl w:val="true"/>
          <w:lang w:bidi="ar-IQ"/>
        </w:rPr>
      </w:r>
    </w:p>
    <w:p>
      <w:pPr>
        <w:pStyle w:val="BodyText"/>
        <w:bidi w:val="1"/>
        <w:jc w:val="start"/>
        <w:rPr>
          <w:rFonts w:cs="Times New Roman"/>
          <w:lang w:bidi="ar-IQ"/>
        </w:rPr>
      </w:pPr>
      <w:r>
        <w:rPr>
          <w:rFonts w:cs="Times New Roman"/>
          <w:rtl w:val="true"/>
          <w:lang w:bidi="ar-IQ"/>
        </w:rPr>
      </w:r>
    </w:p>
    <w:p>
      <w:pPr>
        <w:pStyle w:val="BodyText"/>
        <w:bidi w:val="1"/>
        <w:jc w:val="start"/>
        <w:rPr>
          <w:rFonts w:cs="Times New Roman"/>
          <w:lang w:bidi="ar-IQ"/>
        </w:rPr>
      </w:pPr>
      <w:r>
        <w:rPr>
          <w:rFonts w:cs="Times New Roman"/>
          <w:rtl w:val="true"/>
          <w:lang w:bidi="ar-IQ"/>
        </w:rPr>
      </w:r>
    </w:p>
    <w:p>
      <w:pPr>
        <w:pStyle w:val="BodyText"/>
        <w:bidi w:val="1"/>
        <w:jc w:val="start"/>
        <w:rPr>
          <w:rFonts w:cs="Times New Roman"/>
          <w:lang w:bidi="ar-IQ"/>
        </w:rPr>
      </w:pPr>
      <w:r>
        <w:rPr>
          <w:rFonts w:cs="Times New Roman"/>
          <w:rtl w:val="true"/>
          <w:lang w:bidi="ar-IQ"/>
        </w:rPr>
      </w:r>
    </w:p>
    <w:p>
      <w:pPr>
        <w:pStyle w:val="BodyText"/>
        <w:bidi w:val="1"/>
        <w:jc w:val="start"/>
        <w:rPr>
          <w:rFonts w:cs="Times New Roman"/>
          <w:lang w:bidi="ar-IQ"/>
        </w:rPr>
      </w:pPr>
      <w:r>
        <w:rPr>
          <w:rFonts w:cs="Times New Roman"/>
          <w:rtl w:val="true"/>
          <w:lang w:bidi="ar-IQ"/>
        </w:rPr>
      </w:r>
    </w:p>
    <w:p>
      <w:pPr>
        <w:pStyle w:val="BodyText"/>
        <w:bidi w:val="1"/>
        <w:jc w:val="start"/>
        <w:rPr>
          <w:rFonts w:cs="Times New Roman"/>
          <w:lang w:bidi="ar-IQ"/>
        </w:rPr>
      </w:pPr>
      <w:r>
        <w:rPr>
          <w:rFonts w:cs="Times New Roman"/>
          <w:rtl w:val="true"/>
          <w:lang w:bidi="ar-IQ"/>
        </w:rPr>
        <w:drawing>
          <wp:anchor behindDoc="0" distT="0" distB="0" distL="0" distR="0" simplePos="0" locked="0" layoutInCell="0" allowOverlap="1" relativeHeight="4">
            <wp:simplePos x="0" y="0"/>
            <wp:positionH relativeFrom="column">
              <wp:posOffset>1338580</wp:posOffset>
            </wp:positionH>
            <wp:positionV relativeFrom="paragraph">
              <wp:posOffset>71120</wp:posOffset>
            </wp:positionV>
            <wp:extent cx="3003550" cy="1811020"/>
            <wp:effectExtent l="0" t="0" r="0" b="0"/>
            <wp:wrapSquare wrapText="largest"/>
            <wp:docPr id="2" name="صورة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1" descr="" title=""/>
                    <pic:cNvPicPr>
                      <a:picLocks noChangeAspect="1" noChangeArrowheads="1"/>
                    </pic:cNvPicPr>
                  </pic:nvPicPr>
                  <pic:blipFill>
                    <a:blip r:embed="rId2"/>
                    <a:stretch>
                      <a:fillRect/>
                    </a:stretch>
                  </pic:blipFill>
                  <pic:spPr bwMode="auto">
                    <a:xfrm>
                      <a:off x="0" y="0"/>
                      <a:ext cx="3003550" cy="1811020"/>
                    </a:xfrm>
                    <a:prstGeom prst="rect">
                      <a:avLst/>
                    </a:prstGeom>
                    <a:noFill/>
                  </pic:spPr>
                </pic:pic>
              </a:graphicData>
            </a:graphic>
          </wp:anchor>
        </w:drawing>
      </w:r>
    </w:p>
    <w:p>
      <w:pPr>
        <w:pStyle w:val="BodyText"/>
        <w:bidi w:val="1"/>
        <w:jc w:val="start"/>
        <w:rPr>
          <w:rFonts w:cs="Times New Roman"/>
          <w:lang w:bidi="ar-IQ"/>
        </w:rPr>
      </w:pPr>
      <w:r>
        <w:rPr>
          <w:rFonts w:cs="Times New Roman"/>
          <w:rtl w:val="true"/>
          <w:lang w:bidi="ar-IQ"/>
        </w:rPr>
      </w:r>
    </w:p>
    <w:p>
      <w:pPr>
        <w:pStyle w:val="BodyText"/>
        <w:bidi w:val="1"/>
        <w:jc w:val="start"/>
        <w:rPr>
          <w:rFonts w:cs="Times New Roman"/>
          <w:lang w:bidi="ar-IQ"/>
        </w:rPr>
      </w:pPr>
      <w:r>
        <w:rPr>
          <w:rFonts w:cs="Times New Roman"/>
          <w:rtl w:val="true"/>
          <w:lang w:bidi="ar-IQ"/>
        </w:rPr>
      </w:r>
    </w:p>
    <w:p>
      <w:pPr>
        <w:pStyle w:val="BodyText"/>
        <w:bidi w:val="1"/>
        <w:jc w:val="start"/>
        <w:rPr>
          <w:rFonts w:cs="Times New Roman"/>
          <w:lang w:bidi="ar-IQ"/>
        </w:rPr>
      </w:pPr>
      <w:r>
        <w:rPr>
          <w:rFonts w:cs="Times New Roman"/>
          <w:rtl w:val="true"/>
          <w:lang w:bidi="ar-IQ"/>
        </w:rPr>
      </w:r>
    </w:p>
    <w:p>
      <w:pPr>
        <w:pStyle w:val="BodyText"/>
        <w:bidi w:val="1"/>
        <w:jc w:val="start"/>
        <w:rPr>
          <w:rFonts w:cs="Times New Roman"/>
          <w:lang w:bidi="ar-IQ"/>
        </w:rPr>
      </w:pPr>
      <w:r>
        <w:rPr>
          <w:rFonts w:cs="Times New Roman"/>
          <w:rtl w:val="true"/>
          <w:lang w:bidi="ar-IQ"/>
        </w:rPr>
      </w:r>
    </w:p>
    <w:p>
      <w:pPr>
        <w:pStyle w:val="BodyText"/>
        <w:bidi w:val="1"/>
        <w:jc w:val="start"/>
        <w:rPr>
          <w:rFonts w:cs="Times New Roman"/>
          <w:lang w:bidi="ar-IQ"/>
        </w:rPr>
      </w:pPr>
      <w:r>
        <w:rPr>
          <w:rFonts w:cs="Times New Roman"/>
          <w:rtl w:val="true"/>
          <w:lang w:bidi="ar-IQ"/>
        </w:rPr>
      </w:r>
    </w:p>
    <w:p>
      <w:pPr>
        <w:pStyle w:val="BodyText"/>
        <w:bidi w:val="1"/>
        <w:jc w:val="start"/>
        <w:rPr>
          <w:rFonts w:cs="Times New Roman"/>
          <w:lang w:bidi="ar-IQ"/>
        </w:rPr>
      </w:pPr>
      <w:r>
        <w:rPr>
          <w:rFonts w:cs="Times New Roman"/>
          <w:rtl w:val="true"/>
          <w:lang w:bidi="ar-IQ"/>
        </w:rPr>
      </w:r>
    </w:p>
    <w:p>
      <w:pPr>
        <w:pStyle w:val="BodyText"/>
        <w:bidi w:val="1"/>
        <w:jc w:val="start"/>
        <w:rPr>
          <w:rFonts w:cs="Times New Roman"/>
          <w:lang w:bidi="ar-IQ"/>
        </w:rPr>
      </w:pPr>
      <w:r>
        <w:rPr>
          <w:rFonts w:cs="Times New Roman"/>
          <w:rtl w:val="true"/>
          <w:lang w:bidi="ar-IQ"/>
        </w:rPr>
      </w:r>
    </w:p>
    <w:p>
      <w:pPr>
        <w:pStyle w:val="BodyText"/>
        <w:bidi w:val="1"/>
        <w:jc w:val="start"/>
        <w:rPr>
          <w:rFonts w:cs="Times New Roman"/>
          <w:lang w:bidi="ar-IQ"/>
        </w:rPr>
      </w:pPr>
      <w:r>
        <w:rPr>
          <w:rFonts w:cs="Times New Roman"/>
          <w:rtl w:val="true"/>
          <w:lang w:bidi="ar-IQ"/>
        </w:rPr>
      </w:r>
    </w:p>
    <w:p>
      <w:pPr>
        <w:pStyle w:val="BodyText"/>
        <w:bidi w:val="1"/>
        <w:jc w:val="start"/>
        <w:rPr>
          <w:rFonts w:cs="Times New Roman"/>
          <w:lang w:bidi="ar-IQ"/>
        </w:rPr>
      </w:pPr>
      <w:r>
        <w:rPr>
          <w:rFonts w:cs="Times New Roman"/>
          <w:rtl w:val="true"/>
          <w:lang w:bidi="ar-IQ"/>
        </w:rPr>
      </w:r>
      <w:r>
        <w:br w:type="page"/>
      </w:r>
    </w:p>
    <w:tbl>
      <w:tblPr>
        <w:bidiVisual w:val="true"/>
        <w:tblW w:w="5000" w:type="pct"/>
        <w:jc w:val="start"/>
        <w:tblInd w:w="-6" w:type="dxa"/>
        <w:tblLayout w:type="fixed"/>
        <w:tblCellMar>
          <w:top w:w="55" w:type="dxa"/>
          <w:start w:w="55" w:type="dxa"/>
          <w:bottom w:w="55" w:type="dxa"/>
          <w:end w:w="55" w:type="dxa"/>
        </w:tblCellMar>
      </w:tblPr>
      <w:tblGrid>
        <w:gridCol w:w="1721"/>
        <w:gridCol w:w="4604"/>
        <w:gridCol w:w="3161"/>
      </w:tblGrid>
      <w:tr>
        <w:trPr/>
        <w:tc>
          <w:tcPr>
            <w:tcW w:w="1721" w:type="dxa"/>
            <w:tcBorders>
              <w:top w:val="single" w:sz="6" w:space="0" w:color="111111"/>
              <w:start w:val="single" w:sz="6" w:space="0" w:color="111111"/>
              <w:bottom w:val="single" w:sz="6" w:space="0" w:color="111111"/>
            </w:tcBorders>
            <w:shd w:fill="069A2E" w:val="clear"/>
          </w:tcPr>
          <w:p>
            <w:pPr>
              <w:pStyle w:val="Style17"/>
              <w:pageBreakBefore/>
              <w:bidi w:val="1"/>
              <w:spacing w:before="0" w:after="0"/>
              <w:jc w:val="center"/>
              <w:rPr>
                <w:rFonts w:cs="Times New Roman"/>
                <w:lang w:bidi="ar-IQ"/>
              </w:rPr>
            </w:pPr>
            <w:r>
              <w:rPr>
                <w:rFonts w:cs="Times New Roman"/>
                <w:rtl w:val="true"/>
                <w:lang w:bidi="ar-IQ"/>
              </w:rPr>
              <w:t>التسلسل</w:t>
            </w:r>
          </w:p>
        </w:tc>
        <w:tc>
          <w:tcPr>
            <w:tcW w:w="4604" w:type="dxa"/>
            <w:tcBorders>
              <w:top w:val="single" w:sz="6" w:space="0" w:color="111111"/>
              <w:start w:val="single" w:sz="6" w:space="0" w:color="111111"/>
              <w:bottom w:val="single" w:sz="6" w:space="0" w:color="111111"/>
            </w:tcBorders>
            <w:shd w:fill="069A2E" w:val="clear"/>
          </w:tcPr>
          <w:p>
            <w:pPr>
              <w:pStyle w:val="Style17"/>
              <w:bidi w:val="1"/>
              <w:jc w:val="center"/>
              <w:rPr>
                <w:rFonts w:cs="Times New Roman"/>
                <w:lang w:bidi="ar-IQ"/>
              </w:rPr>
            </w:pPr>
            <w:r>
              <w:rPr>
                <w:rFonts w:cs="Times New Roman"/>
                <w:rtl w:val="true"/>
                <w:lang w:bidi="ar-IQ"/>
              </w:rPr>
              <w:t>اسم القسم</w:t>
            </w:r>
          </w:p>
        </w:tc>
        <w:tc>
          <w:tcPr>
            <w:tcW w:w="3161" w:type="dxa"/>
            <w:tcBorders>
              <w:top w:val="single" w:sz="6" w:space="0" w:color="111111"/>
              <w:start w:val="single" w:sz="6" w:space="0" w:color="111111"/>
              <w:bottom w:val="single" w:sz="6" w:space="0" w:color="111111"/>
              <w:end w:val="single" w:sz="6" w:space="0" w:color="111111"/>
            </w:tcBorders>
            <w:shd w:fill="069A2E" w:val="clear"/>
          </w:tcPr>
          <w:p>
            <w:pPr>
              <w:pStyle w:val="Style17"/>
              <w:bidi w:val="1"/>
              <w:jc w:val="center"/>
              <w:rPr>
                <w:rFonts w:cs="Times New Roman"/>
                <w:lang w:bidi="ar-IQ"/>
              </w:rPr>
            </w:pPr>
            <w:r>
              <w:rPr>
                <w:rFonts w:cs="Times New Roman"/>
                <w:rtl w:val="true"/>
                <w:lang w:bidi="ar-IQ"/>
              </w:rPr>
              <w:t>حجم المصاريف</w:t>
            </w:r>
          </w:p>
        </w:tc>
      </w:tr>
      <w:tr>
        <w:trPr/>
        <w:tc>
          <w:tcPr>
            <w:tcW w:w="1721" w:type="dxa"/>
            <w:tcBorders>
              <w:start w:val="single" w:sz="6" w:space="0" w:color="111111"/>
              <w:bottom w:val="single" w:sz="6" w:space="0" w:color="111111"/>
            </w:tcBorders>
          </w:tcPr>
          <w:p>
            <w:pPr>
              <w:pStyle w:val="Style17"/>
              <w:bidi w:val="1"/>
              <w:jc w:val="center"/>
              <w:rPr>
                <w:rFonts w:cs="Times New Roman"/>
                <w:b w:val="false"/>
                <w:bCs w:val="false"/>
                <w:i w:val="false"/>
                <w:i w:val="false"/>
                <w:iCs w:val="false"/>
                <w:sz w:val="24"/>
                <w:szCs w:val="24"/>
                <w:lang w:bidi="ar-IQ"/>
              </w:rPr>
            </w:pPr>
            <w:r>
              <w:rPr>
                <w:rFonts w:cs="Times New Roman"/>
                <w:bCs w:val="false"/>
                <w:iCs w:val="false"/>
                <w:szCs w:val="24"/>
                <w:lang w:bidi="ar-IQ"/>
              </w:rPr>
              <w:t>1</w:t>
            </w:r>
            <w:r>
              <w:rPr>
                <w:rFonts w:cs="Times New Roman"/>
                <w:bCs w:val="false"/>
                <w:iCs w:val="false"/>
                <w:szCs w:val="24"/>
                <w:rtl w:val="true"/>
                <w:lang w:bidi="ar-IQ"/>
              </w:rPr>
              <w:t>.</w:t>
            </w:r>
          </w:p>
        </w:tc>
        <w:tc>
          <w:tcPr>
            <w:tcW w:w="4604" w:type="dxa"/>
            <w:tcBorders>
              <w:start w:val="single" w:sz="6" w:space="0" w:color="111111"/>
              <w:bottom w:val="single" w:sz="6" w:space="0" w:color="111111"/>
            </w:tcBorders>
          </w:tcPr>
          <w:p>
            <w:pPr>
              <w:pStyle w:val="Style17"/>
              <w:bidi w:val="1"/>
              <w:jc w:val="center"/>
              <w:rPr>
                <w:rFonts w:cs="Times New Roman"/>
                <w:b w:val="false"/>
                <w:bCs w:val="false"/>
                <w:i w:val="false"/>
                <w:i w:val="false"/>
                <w:iCs w:val="false"/>
                <w:sz w:val="24"/>
                <w:szCs w:val="24"/>
                <w:lang w:bidi="ar-IQ"/>
              </w:rPr>
            </w:pPr>
            <w:r>
              <w:rPr>
                <w:rFonts w:cs="Times New Roman"/>
                <w:b w:val="false"/>
                <w:b w:val="false"/>
                <w:bCs w:val="false"/>
                <w:i w:val="false"/>
                <w:i w:val="false"/>
                <w:iCs w:val="false"/>
                <w:sz w:val="24"/>
                <w:sz w:val="24"/>
                <w:szCs w:val="24"/>
                <w:rtl w:val="true"/>
                <w:lang w:bidi="ar-IQ"/>
              </w:rPr>
              <w:t>قسم الإنتاج</w:t>
            </w:r>
          </w:p>
        </w:tc>
        <w:tc>
          <w:tcPr>
            <w:tcW w:w="3161" w:type="dxa"/>
            <w:tcBorders>
              <w:start w:val="single" w:sz="6" w:space="0" w:color="111111"/>
              <w:bottom w:val="single" w:sz="6" w:space="0" w:color="111111"/>
              <w:end w:val="single" w:sz="6" w:space="0" w:color="111111"/>
            </w:tcBorders>
          </w:tcPr>
          <w:p>
            <w:pPr>
              <w:pStyle w:val="Style17"/>
              <w:bidi w:val="1"/>
              <w:jc w:val="center"/>
              <w:rPr>
                <w:rFonts w:cs="Times New Roman"/>
                <w:b w:val="false"/>
                <w:bCs w:val="false"/>
                <w:i w:val="false"/>
                <w:i w:val="false"/>
                <w:iCs w:val="false"/>
                <w:sz w:val="24"/>
                <w:szCs w:val="24"/>
                <w:lang w:bidi="ar-IQ"/>
              </w:rPr>
            </w:pPr>
            <w:r>
              <w:rPr>
                <w:rFonts w:cs="Times New Roman"/>
                <w:bCs w:val="false"/>
                <w:iCs w:val="false"/>
                <w:szCs w:val="24"/>
                <w:lang w:bidi="ar-IQ"/>
              </w:rPr>
              <w:t>500,000$</w:t>
            </w:r>
          </w:p>
        </w:tc>
      </w:tr>
      <w:tr>
        <w:trPr/>
        <w:tc>
          <w:tcPr>
            <w:tcW w:w="1721" w:type="dxa"/>
            <w:tcBorders>
              <w:start w:val="single" w:sz="6" w:space="0" w:color="111111"/>
              <w:bottom w:val="single" w:sz="6" w:space="0" w:color="111111"/>
            </w:tcBorders>
          </w:tcPr>
          <w:p>
            <w:pPr>
              <w:pStyle w:val="Style17"/>
              <w:bidi w:val="1"/>
              <w:jc w:val="center"/>
              <w:rPr>
                <w:rFonts w:cs="Times New Roman"/>
                <w:b w:val="false"/>
                <w:bCs w:val="false"/>
                <w:i w:val="false"/>
                <w:i w:val="false"/>
                <w:iCs w:val="false"/>
                <w:sz w:val="24"/>
                <w:szCs w:val="24"/>
                <w:lang w:bidi="ar-IQ"/>
              </w:rPr>
            </w:pPr>
            <w:r>
              <w:rPr>
                <w:rFonts w:cs="Times New Roman"/>
                <w:bCs w:val="false"/>
                <w:iCs w:val="false"/>
                <w:szCs w:val="24"/>
                <w:lang w:bidi="ar-IQ"/>
              </w:rPr>
              <w:t>2</w:t>
            </w:r>
            <w:r>
              <w:rPr>
                <w:rFonts w:cs="Times New Roman"/>
                <w:bCs w:val="false"/>
                <w:iCs w:val="false"/>
                <w:szCs w:val="24"/>
                <w:rtl w:val="true"/>
                <w:lang w:bidi="ar-IQ"/>
              </w:rPr>
              <w:t>.</w:t>
            </w:r>
          </w:p>
        </w:tc>
        <w:tc>
          <w:tcPr>
            <w:tcW w:w="4604" w:type="dxa"/>
            <w:tcBorders>
              <w:start w:val="single" w:sz="6" w:space="0" w:color="111111"/>
              <w:bottom w:val="single" w:sz="6" w:space="0" w:color="111111"/>
            </w:tcBorders>
          </w:tcPr>
          <w:p>
            <w:pPr>
              <w:pStyle w:val="Style17"/>
              <w:bidi w:val="1"/>
              <w:jc w:val="center"/>
              <w:rPr>
                <w:rFonts w:cs="Times New Roman"/>
                <w:b w:val="false"/>
                <w:bCs w:val="false"/>
                <w:i w:val="false"/>
                <w:i w:val="false"/>
                <w:iCs w:val="false"/>
                <w:sz w:val="24"/>
                <w:szCs w:val="24"/>
                <w:lang w:bidi="ar-IQ"/>
              </w:rPr>
            </w:pPr>
            <w:r>
              <w:rPr>
                <w:rFonts w:cs="Times New Roman"/>
                <w:b w:val="false"/>
                <w:b w:val="false"/>
                <w:bCs w:val="false"/>
                <w:i w:val="false"/>
                <w:i w:val="false"/>
                <w:iCs w:val="false"/>
                <w:sz w:val="24"/>
                <w:sz w:val="24"/>
                <w:szCs w:val="24"/>
                <w:rtl w:val="true"/>
                <w:lang w:bidi="ar-IQ"/>
              </w:rPr>
              <w:t>قسم التسويق</w:t>
            </w:r>
          </w:p>
        </w:tc>
        <w:tc>
          <w:tcPr>
            <w:tcW w:w="3161" w:type="dxa"/>
            <w:tcBorders>
              <w:start w:val="single" w:sz="6" w:space="0" w:color="111111"/>
              <w:bottom w:val="single" w:sz="6" w:space="0" w:color="111111"/>
              <w:end w:val="single" w:sz="6" w:space="0" w:color="111111"/>
            </w:tcBorders>
          </w:tcPr>
          <w:p>
            <w:pPr>
              <w:pStyle w:val="Style17"/>
              <w:bidi w:val="1"/>
              <w:jc w:val="center"/>
              <w:rPr>
                <w:rFonts w:cs="Times New Roman"/>
                <w:b w:val="false"/>
                <w:bCs w:val="false"/>
                <w:i w:val="false"/>
                <w:i w:val="false"/>
                <w:iCs w:val="false"/>
                <w:sz w:val="24"/>
                <w:szCs w:val="24"/>
              </w:rPr>
            </w:pPr>
            <w:r>
              <w:rPr>
                <w:rFonts w:cs="Times New Roman"/>
                <w:bCs w:val="false"/>
                <w:iCs w:val="false"/>
                <w:szCs w:val="24"/>
              </w:rPr>
              <w:t>300,000$</w:t>
            </w:r>
          </w:p>
        </w:tc>
      </w:tr>
      <w:tr>
        <w:trPr/>
        <w:tc>
          <w:tcPr>
            <w:tcW w:w="1721" w:type="dxa"/>
            <w:tcBorders>
              <w:start w:val="single" w:sz="6" w:space="0" w:color="111111"/>
              <w:bottom w:val="single" w:sz="6" w:space="0" w:color="111111"/>
            </w:tcBorders>
          </w:tcPr>
          <w:p>
            <w:pPr>
              <w:pStyle w:val="Style17"/>
              <w:bidi w:val="1"/>
              <w:jc w:val="center"/>
              <w:rPr>
                <w:rFonts w:cs="Times New Roman"/>
                <w:b w:val="false"/>
                <w:bCs w:val="false"/>
                <w:i w:val="false"/>
                <w:i w:val="false"/>
                <w:iCs w:val="false"/>
                <w:sz w:val="24"/>
                <w:szCs w:val="24"/>
                <w:lang w:bidi="ar-IQ"/>
              </w:rPr>
            </w:pPr>
            <w:r>
              <w:rPr>
                <w:rFonts w:cs="Times New Roman"/>
                <w:bCs w:val="false"/>
                <w:iCs w:val="false"/>
                <w:szCs w:val="24"/>
                <w:lang w:bidi="ar-IQ"/>
              </w:rPr>
              <w:t>3</w:t>
            </w:r>
            <w:r>
              <w:rPr>
                <w:rFonts w:cs="Times New Roman"/>
                <w:bCs w:val="false"/>
                <w:iCs w:val="false"/>
                <w:szCs w:val="24"/>
                <w:rtl w:val="true"/>
                <w:lang w:bidi="ar-IQ"/>
              </w:rPr>
              <w:t>.</w:t>
            </w:r>
          </w:p>
        </w:tc>
        <w:tc>
          <w:tcPr>
            <w:tcW w:w="4604" w:type="dxa"/>
            <w:tcBorders>
              <w:start w:val="single" w:sz="6" w:space="0" w:color="111111"/>
              <w:bottom w:val="single" w:sz="6" w:space="0" w:color="111111"/>
            </w:tcBorders>
          </w:tcPr>
          <w:p>
            <w:pPr>
              <w:pStyle w:val="Style17"/>
              <w:bidi w:val="1"/>
              <w:jc w:val="center"/>
              <w:rPr>
                <w:rFonts w:cs="Times New Roman"/>
                <w:b w:val="false"/>
                <w:bCs w:val="false"/>
                <w:i w:val="false"/>
                <w:i w:val="false"/>
                <w:iCs w:val="false"/>
                <w:sz w:val="24"/>
                <w:szCs w:val="24"/>
                <w:lang w:bidi="ar-IQ"/>
              </w:rPr>
            </w:pPr>
            <w:r>
              <w:rPr>
                <w:rFonts w:cs="Times New Roman"/>
                <w:b w:val="false"/>
                <w:b w:val="false"/>
                <w:bCs w:val="false"/>
                <w:i w:val="false"/>
                <w:i w:val="false"/>
                <w:iCs w:val="false"/>
                <w:sz w:val="24"/>
                <w:sz w:val="24"/>
                <w:szCs w:val="24"/>
                <w:rtl w:val="true"/>
                <w:lang w:bidi="ar-IQ"/>
              </w:rPr>
              <w:t>قسم تكنلوجيا المعلومات</w:t>
            </w:r>
          </w:p>
        </w:tc>
        <w:tc>
          <w:tcPr>
            <w:tcW w:w="3161" w:type="dxa"/>
            <w:tcBorders>
              <w:start w:val="single" w:sz="6" w:space="0" w:color="111111"/>
              <w:bottom w:val="single" w:sz="6" w:space="0" w:color="111111"/>
              <w:end w:val="single" w:sz="6" w:space="0" w:color="111111"/>
            </w:tcBorders>
          </w:tcPr>
          <w:p>
            <w:pPr>
              <w:pStyle w:val="Style17"/>
              <w:bidi w:val="1"/>
              <w:jc w:val="center"/>
              <w:rPr>
                <w:rFonts w:cs="Times New Roman"/>
                <w:b w:val="false"/>
                <w:bCs w:val="false"/>
                <w:i w:val="false"/>
                <w:i w:val="false"/>
                <w:iCs w:val="false"/>
                <w:sz w:val="24"/>
                <w:szCs w:val="24"/>
              </w:rPr>
            </w:pPr>
            <w:r>
              <w:rPr>
                <w:rFonts w:cs="Times New Roman"/>
                <w:bCs w:val="false"/>
                <w:iCs w:val="false"/>
                <w:szCs w:val="24"/>
              </w:rPr>
              <w:t>250,000$</w:t>
            </w:r>
          </w:p>
        </w:tc>
      </w:tr>
      <w:tr>
        <w:trPr>
          <w:trHeight w:val="231" w:hRule="atLeast"/>
        </w:trPr>
        <w:tc>
          <w:tcPr>
            <w:tcW w:w="1721" w:type="dxa"/>
            <w:tcBorders>
              <w:start w:val="single" w:sz="6" w:space="0" w:color="111111"/>
              <w:bottom w:val="single" w:sz="6" w:space="0" w:color="111111"/>
            </w:tcBorders>
          </w:tcPr>
          <w:p>
            <w:pPr>
              <w:pStyle w:val="Style17"/>
              <w:bidi w:val="1"/>
              <w:jc w:val="center"/>
              <w:rPr>
                <w:rFonts w:cs="Times New Roman"/>
                <w:b w:val="false"/>
                <w:bCs w:val="false"/>
                <w:i w:val="false"/>
                <w:i w:val="false"/>
                <w:iCs w:val="false"/>
                <w:sz w:val="24"/>
                <w:szCs w:val="24"/>
                <w:lang w:bidi="ar-IQ"/>
              </w:rPr>
            </w:pPr>
            <w:r>
              <w:rPr>
                <w:rFonts w:cs="Times New Roman"/>
                <w:bCs w:val="false"/>
                <w:iCs w:val="false"/>
                <w:szCs w:val="24"/>
                <w:lang w:bidi="ar-IQ"/>
              </w:rPr>
              <w:t>4</w:t>
            </w:r>
            <w:r>
              <w:rPr>
                <w:rFonts w:cs="Times New Roman"/>
                <w:bCs w:val="false"/>
                <w:iCs w:val="false"/>
                <w:szCs w:val="24"/>
                <w:rtl w:val="true"/>
                <w:lang w:bidi="ar-IQ"/>
              </w:rPr>
              <w:t>.</w:t>
            </w:r>
          </w:p>
        </w:tc>
        <w:tc>
          <w:tcPr>
            <w:tcW w:w="4604" w:type="dxa"/>
            <w:tcBorders>
              <w:start w:val="single" w:sz="6" w:space="0" w:color="111111"/>
              <w:bottom w:val="single" w:sz="6" w:space="0" w:color="111111"/>
            </w:tcBorders>
          </w:tcPr>
          <w:p>
            <w:pPr>
              <w:pStyle w:val="Style17"/>
              <w:bidi w:val="1"/>
              <w:jc w:val="center"/>
              <w:rPr>
                <w:rFonts w:cs="Times New Roman"/>
                <w:b w:val="false"/>
                <w:bCs w:val="false"/>
                <w:i w:val="false"/>
                <w:i w:val="false"/>
                <w:iCs w:val="false"/>
                <w:sz w:val="24"/>
                <w:szCs w:val="24"/>
                <w:lang w:bidi="ar-IQ"/>
              </w:rPr>
            </w:pPr>
            <w:r>
              <w:rPr>
                <w:rFonts w:cs="Times New Roman"/>
                <w:b w:val="false"/>
                <w:b w:val="false"/>
                <w:bCs w:val="false"/>
                <w:i w:val="false"/>
                <w:i w:val="false"/>
                <w:iCs w:val="false"/>
                <w:sz w:val="24"/>
                <w:sz w:val="24"/>
                <w:szCs w:val="24"/>
                <w:rtl w:val="true"/>
                <w:lang w:bidi="ar-IQ"/>
              </w:rPr>
              <w:t>قسم الموارد البشرية</w:t>
            </w:r>
          </w:p>
        </w:tc>
        <w:tc>
          <w:tcPr>
            <w:tcW w:w="3161" w:type="dxa"/>
            <w:tcBorders>
              <w:start w:val="single" w:sz="6" w:space="0" w:color="111111"/>
              <w:bottom w:val="single" w:sz="6" w:space="0" w:color="111111"/>
              <w:end w:val="single" w:sz="6" w:space="0" w:color="111111"/>
            </w:tcBorders>
          </w:tcPr>
          <w:p>
            <w:pPr>
              <w:pStyle w:val="Style17"/>
              <w:bidi w:val="1"/>
              <w:jc w:val="center"/>
              <w:rPr>
                <w:rFonts w:cs="Times New Roman"/>
                <w:b w:val="false"/>
                <w:bCs w:val="false"/>
                <w:i w:val="false"/>
                <w:i w:val="false"/>
                <w:iCs w:val="false"/>
                <w:sz w:val="24"/>
                <w:szCs w:val="24"/>
              </w:rPr>
            </w:pPr>
            <w:r>
              <w:rPr>
                <w:rFonts w:cs="Times New Roman"/>
                <w:bCs w:val="false"/>
                <w:iCs w:val="false"/>
                <w:szCs w:val="24"/>
              </w:rPr>
              <w:t>150,000$</w:t>
            </w:r>
          </w:p>
        </w:tc>
      </w:tr>
    </w:tbl>
    <w:p>
      <w:pPr>
        <w:pStyle w:val="BodyText"/>
        <w:bidi w:val="1"/>
        <w:jc w:val="start"/>
        <w:rPr>
          <w:rFonts w:cs="Times New Roman"/>
          <w:lang w:bidi="ar-IQ"/>
        </w:rPr>
      </w:pPr>
      <w:r>
        <w:rPr>
          <w:rFonts w:cs="Times New Roman"/>
          <w:rtl w:val="true"/>
          <w:lang w:bidi="ar-IQ"/>
        </w:rPr>
      </w:r>
    </w:p>
    <w:p>
      <w:pPr>
        <w:pStyle w:val="BodyText"/>
        <w:bidi w:val="1"/>
        <w:jc w:val="start"/>
        <w:rPr>
          <w:rFonts w:cs="Times New Roman"/>
          <w:lang w:bidi="ar-IQ"/>
        </w:rPr>
      </w:pPr>
      <w:r>
        <w:rPr>
          <w:rFonts w:cs="Times New Roman"/>
          <w:rtl w:val="true"/>
          <w:lang w:bidi="ar-IQ"/>
        </w:rPr>
      </w:r>
    </w:p>
    <w:p>
      <w:pPr>
        <w:pStyle w:val="BodyText"/>
        <w:bidi w:val="1"/>
        <w:jc w:val="start"/>
        <w:rPr>
          <w:rFonts w:cs="Times New Roman"/>
          <w:lang w:bidi="ar-IQ"/>
        </w:rPr>
      </w:pPr>
      <w:r>
        <w:rPr>
          <w:rFonts w:cs="Times New Roman"/>
          <w:rtl w:val="true"/>
          <w:lang w:bidi="ar-IQ"/>
        </w:rPr>
      </w:r>
    </w:p>
    <w:p>
      <w:pPr>
        <w:pStyle w:val="BodyText"/>
        <w:bidi w:val="1"/>
        <w:jc w:val="start"/>
        <w:rPr>
          <w:rFonts w:cs="Times New Roman"/>
          <w:lang w:bidi="ar-IQ"/>
        </w:rPr>
      </w:pPr>
      <w:r>
        <w:rPr>
          <w:rFonts w:cs="Times New Roman"/>
          <w:rtl w:val="true"/>
          <w:lang w:bidi="ar-IQ"/>
        </w:rPr>
      </w:r>
    </w:p>
    <w:p>
      <w:pPr>
        <w:pStyle w:val="BodyText"/>
        <w:bidi w:val="1"/>
        <w:spacing w:before="0" w:after="140"/>
        <w:jc w:val="start"/>
        <w:rPr>
          <w:rFonts w:cs="Times New Roman"/>
          <w:lang w:bidi="ar-IQ"/>
        </w:rPr>
      </w:pPr>
      <w:r>
        <w:rPr>
          <w:rFonts w:cs="Times New Roman"/>
          <w:rtl w:val="true"/>
          <w:lang w:bidi="ar-IQ"/>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59450" cy="3239770"/>
            <wp:effectExtent l="0" t="0" r="0" b="0"/>
            <wp:wrapSquare wrapText="largest"/>
            <wp:docPr id="3" name="كائن1" descr="" title=""/>
            <wp:cNvGraphicFramePr/>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wp:anchor>
        </w:drawing>
      </w:r>
    </w:p>
    <w:sectPr>
      <w:headerReference w:type="even" r:id="rId4"/>
      <w:headerReference w:type="default" r:id="rId5"/>
      <w:headerReference w:type="first" r:id="rId6"/>
      <w:footerReference w:type="even" r:id="rId7"/>
      <w:footerReference w:type="default" r:id="rId8"/>
      <w:footerReference w:type="first" r:id="rId9"/>
      <w:type w:val="nextPage"/>
      <w:pgSz w:w="11906" w:h="16838"/>
      <w:pgMar w:left="1210" w:right="1210" w:gutter="0" w:header="1210" w:top="1815" w:footer="1210" w:bottom="1783"/>
      <w:pgBorders w:display="allPages" w:offsetFrom="text">
        <w:top w:val="thinThickLargeGap" w:sz="2" w:space="1" w:color="000000"/>
        <w:left w:val="thinThickLargeGap" w:sz="2" w:space="1" w:color="000000"/>
        <w:bottom w:val="thinThickLargeGap" w:sz="2" w:space="1" w:color="000000"/>
        <w:right w:val="thinThickLargeGap" w:sz="2" w:space="1" w:color="000000"/>
      </w:pgBorders>
      <w:pgNumType w:fmt="decimal"/>
      <w:formProt w:val="false"/>
      <w:textDirection w:val="lrTb"/>
      <w:bidi/>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b2" w:characterSet="windows-1256"/>
    <w:family w:val="roman"/>
    <w:pitch w:val="variable"/>
  </w:font>
  <w:font w:name="OpenSymbol">
    <w:altName w:val="Arial Unicode MS"/>
    <w:charset w:val="b2" w:characterSet="windows-1256"/>
    <w:family w:val="roman"/>
    <w:pitch w:val="variable"/>
  </w:font>
  <w:font w:name="Liberation Sans">
    <w:altName w:val="Arial"/>
    <w:charset w:val="b2" w:characterSet="windows-1256"/>
    <w:family w:val="swiss"/>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tl w:val="true"/>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bookmarkStart w:id="0" w:name="PageNumWizard_FOOTER_طراز_الفقرة_المبدئي"/>
    <w:r>
      <w:rPr>
        <w:rtl w:val="true"/>
      </w:rPr>
      <w:fldChar w:fldCharType="begin"/>
    </w:r>
    <w:r>
      <w:rPr>
        <w:rtl w:val="true"/>
      </w:rPr>
      <w:instrText xml:space="preserve"> PAGE </w:instrText>
    </w:r>
    <w:r>
      <w:rPr>
        <w:rtl w:val="true"/>
      </w:rPr>
      <w:fldChar w:fldCharType="separate"/>
    </w:r>
    <w:r>
      <w:rPr>
        <w:rtl w:val="true"/>
      </w:rPr>
      <w:t>2</w:t>
    </w:r>
    <w:r>
      <w:rPr>
        <w:rtl w:val="true"/>
      </w:rPr>
      <w:fldChar w:fldCharType="end"/>
    </w:r>
    <w:bookmarkEnd w:id="0"/>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bookmarkStart w:id="1" w:name="PageNumWizard_FOOTER_طراز_الفقرة_المبدئي"/>
    <w:r>
      <w:rPr>
        <w:rtl w:val="true"/>
      </w:rPr>
      <w:fldChar w:fldCharType="begin"/>
    </w:r>
    <w:r>
      <w:rPr>
        <w:rtl w:val="true"/>
      </w:rPr>
      <w:instrText xml:space="preserve"> PAGE </w:instrText>
    </w:r>
    <w:r>
      <w:rPr>
        <w:rtl w:val="true"/>
      </w:rPr>
      <w:fldChar w:fldCharType="separate"/>
    </w:r>
    <w:r>
      <w:rPr>
        <w:rtl w:val="true"/>
      </w:rPr>
      <w:t>2</w:t>
    </w:r>
    <w:r>
      <w:rPr>
        <w:rtl w:val="true"/>
      </w:rPr>
      <w:fldChar w:fldCharType="end"/>
    </w:r>
    <w:bookmarkEnd w:id="1"/>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framePr fillcolor="#DEE6EF"/>
      <w:rPr/>
    </w:pPr>
    <w:r>
      <w:rPr>
        <w:rtl w:val="true"/>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bidi w:val="1"/>
      <w:jc w:val="center"/>
      <w:rPr>
        <w:rFonts w:cs="Times New Roman"/>
        <w:sz w:val="28"/>
        <w:szCs w:val="28"/>
        <w:lang w:bidi="ar-IQ"/>
      </w:rPr>
    </w:pPr>
    <w:r>
      <w:rPr>
        <w:rFonts w:cs="Times New Roman"/>
        <w:sz w:val="28"/>
        <w:sz w:val="28"/>
        <w:szCs w:val="28"/>
        <w:rtl w:val="true"/>
        <w:lang w:bidi="ar-IQ"/>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 o:spid="shape_0" adj="10800" fillcolor="silver" stroked="f" o:allowincell="f" style="position:absolute;margin-left:-3.5pt;margin-top:295.7pt;width:481.2pt;height:70.45pt;mso-wrap-style:none;v-text-anchor:middle;rotation:315;mso-position-horizontal:center;mso-position-horizontal-relative:margin;mso-position-vertical:center;mso-position-vertical-relative:margin" type="_x0000_t136">
          <v:path textpathok="t"/>
          <v:textpath on="t" fitshape="t" string="غسق عمار إدريس" style="font-family:&quot;Liberation Sans&quot;;font-size:1pt" trim="t"/>
          <v:fill o:detectmouseclick="t" type="solid" color2="#3f3f3f" opacity="0.5"/>
          <v:stroke color="#3465a4" joinstyle="round" endcap="flat"/>
          <w10:wrap type="none"/>
        </v:shape>
      </w:pict>
    </w:r>
    <w:r>
      <w:rPr>
        <w:rFonts w:cs="Times New Roman"/>
        <w:sz w:val="28"/>
        <w:sz w:val="28"/>
        <w:szCs w:val="28"/>
        <w:rtl w:val="true"/>
        <w:lang w:bidi="ar-IQ"/>
      </w:rPr>
      <w:t>تقرير عن وضع الشركة الاقتصادي</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bidi w:val="1"/>
      <w:jc w:val="center"/>
      <w:rPr>
        <w:rFonts w:cs="Times New Roman"/>
        <w:sz w:val="28"/>
        <w:szCs w:val="28"/>
        <w:lang w:bidi="ar-IQ"/>
      </w:rPr>
    </w:pPr>
    <w:r>
      <w:rPr>
        <w:rFonts w:cs="Times New Roman"/>
        <w:sz w:val="28"/>
        <w:sz w:val="28"/>
        <w:szCs w:val="28"/>
        <w:rtl w:val="true"/>
        <w:lang w:bidi="ar-IQ"/>
      </w:rPr>
      <w:pict>
        <v:shape id="PowerPlusWaterMarkObject" o:spid="shape_0" adj="10800" fillcolor="silver" stroked="f" o:allowincell="f" style="position:absolute;margin-left:-3.5pt;margin-top:295.7pt;width:481.2pt;height:70.45pt;mso-wrap-style:none;v-text-anchor:middle;rotation:315;mso-position-horizontal:center;mso-position-horizontal-relative:margin;mso-position-vertical:center;mso-position-vertical-relative:margin" type="_x0000_t136">
          <v:path textpathok="t"/>
          <v:textpath on="t" fitshape="t" string="غسق عمار إدريس" style="font-family:&quot;Liberation Sans&quot;;font-size:1pt" trim="t"/>
          <v:fill o:detectmouseclick="t" type="solid" color2="#3f3f3f" opacity="0.5"/>
          <v:stroke color="#3465a4" joinstyle="round" endcap="flat"/>
          <w10:wrap type="none"/>
        </v:shape>
      </w:pict>
    </w:r>
    <w:r>
      <w:rPr>
        <w:rFonts w:cs="Times New Roman"/>
        <w:sz w:val="28"/>
        <w:sz w:val="28"/>
        <w:szCs w:val="28"/>
        <w:rtl w:val="true"/>
        <w:lang w:bidi="ar-IQ"/>
      </w:rPr>
      <w:t>تقرير عن وضع الشركة الاقتصادي</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end"/>
      <w:pPr>
        <w:tabs>
          <w:tab w:val="num" w:pos="1429"/>
        </w:tabs>
        <w:ind w:start="1429" w:hanging="360"/>
      </w:pPr>
      <w:rPr>
        <w:rFonts w:ascii="Symbol" w:hAnsi="Symbol" w:cs="Symbol" w:hint="default"/>
      </w:rPr>
    </w:lvl>
    <w:lvl w:ilvl="1">
      <w:start w:val="1"/>
      <w:numFmt w:val="bullet"/>
      <w:lvlText w:val="◦"/>
      <w:lvlJc w:val="end"/>
      <w:pPr>
        <w:tabs>
          <w:tab w:val="num" w:pos="1789"/>
        </w:tabs>
        <w:ind w:start="1789" w:hanging="360"/>
      </w:pPr>
      <w:rPr>
        <w:rFonts w:ascii="OpenSymbol" w:hAnsi="OpenSymbol" w:cs="OpenSymbol" w:hint="default"/>
      </w:rPr>
    </w:lvl>
    <w:lvl w:ilvl="2">
      <w:start w:val="1"/>
      <w:numFmt w:val="bullet"/>
      <w:lvlText w:val="▪"/>
      <w:lvlJc w:val="end"/>
      <w:pPr>
        <w:tabs>
          <w:tab w:val="num" w:pos="2149"/>
        </w:tabs>
        <w:ind w:start="2149" w:hanging="360"/>
      </w:pPr>
      <w:rPr>
        <w:rFonts w:ascii="OpenSymbol" w:hAnsi="OpenSymbol" w:cs="OpenSymbol" w:hint="default"/>
      </w:rPr>
    </w:lvl>
    <w:lvl w:ilvl="3">
      <w:start w:val="1"/>
      <w:numFmt w:val="bullet"/>
      <w:lvlText w:val=""/>
      <w:lvlJc w:val="end"/>
      <w:pPr>
        <w:tabs>
          <w:tab w:val="num" w:pos="2509"/>
        </w:tabs>
        <w:ind w:start="2509" w:hanging="360"/>
      </w:pPr>
      <w:rPr>
        <w:rFonts w:ascii="Symbol" w:hAnsi="Symbol" w:cs="Symbol" w:hint="default"/>
      </w:rPr>
    </w:lvl>
    <w:lvl w:ilvl="4">
      <w:start w:val="1"/>
      <w:numFmt w:val="bullet"/>
      <w:lvlText w:val="◦"/>
      <w:lvlJc w:val="end"/>
      <w:pPr>
        <w:tabs>
          <w:tab w:val="num" w:pos="2869"/>
        </w:tabs>
        <w:ind w:start="2869" w:hanging="360"/>
      </w:pPr>
      <w:rPr>
        <w:rFonts w:ascii="OpenSymbol" w:hAnsi="OpenSymbol" w:cs="OpenSymbol" w:hint="default"/>
      </w:rPr>
    </w:lvl>
    <w:lvl w:ilvl="5">
      <w:start w:val="1"/>
      <w:numFmt w:val="bullet"/>
      <w:lvlText w:val="▪"/>
      <w:lvlJc w:val="end"/>
      <w:pPr>
        <w:tabs>
          <w:tab w:val="num" w:pos="3229"/>
        </w:tabs>
        <w:ind w:start="3229" w:hanging="360"/>
      </w:pPr>
      <w:rPr>
        <w:rFonts w:ascii="OpenSymbol" w:hAnsi="OpenSymbol" w:cs="OpenSymbol" w:hint="default"/>
      </w:rPr>
    </w:lvl>
    <w:lvl w:ilvl="6">
      <w:start w:val="1"/>
      <w:numFmt w:val="bullet"/>
      <w:lvlText w:val=""/>
      <w:lvlJc w:val="end"/>
      <w:pPr>
        <w:tabs>
          <w:tab w:val="num" w:pos="3589"/>
        </w:tabs>
        <w:ind w:start="3589" w:hanging="360"/>
      </w:pPr>
      <w:rPr>
        <w:rFonts w:ascii="Symbol" w:hAnsi="Symbol" w:cs="Symbol" w:hint="default"/>
      </w:rPr>
    </w:lvl>
    <w:lvl w:ilvl="7">
      <w:start w:val="1"/>
      <w:numFmt w:val="bullet"/>
      <w:lvlText w:val="◦"/>
      <w:lvlJc w:val="end"/>
      <w:pPr>
        <w:tabs>
          <w:tab w:val="num" w:pos="3949"/>
        </w:tabs>
        <w:ind w:start="3949" w:hanging="360"/>
      </w:pPr>
      <w:rPr>
        <w:rFonts w:ascii="OpenSymbol" w:hAnsi="OpenSymbol" w:cs="OpenSymbol" w:hint="default"/>
      </w:rPr>
    </w:lvl>
    <w:lvl w:ilvl="8">
      <w:start w:val="1"/>
      <w:numFmt w:val="bullet"/>
      <w:lvlText w:val="▪"/>
      <w:lvlJc w:val="end"/>
      <w:pPr>
        <w:tabs>
          <w:tab w:val="num" w:pos="4309"/>
        </w:tabs>
        <w:ind w:start="4309" w:hanging="360"/>
      </w:pPr>
      <w:rPr>
        <w:rFonts w:ascii="OpenSymbol" w:hAnsi="OpenSymbol" w:cs="OpenSymbol" w:hint="default"/>
      </w:r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bering>
</file>

<file path=word/settings.xml><?xml version="1.0" encoding="utf-8"?>
<w:settings xmlns:w="http://schemas.openxmlformats.org/wordprocessingml/2006/main">
  <w:zoom w:percent="75"/>
  <w:displayBackgroundShape/>
  <w:defaultTabStop w:val="709"/>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Tahoma"/>
        <w:kern w:val="2"/>
        <w:sz w:val="24"/>
        <w:szCs w:val="24"/>
        <w:lang w:val="en-US" w:eastAsia="zh-CN" w:bidi="ar-SA"/>
      </w:rPr>
    </w:rPrDefault>
    <w:pPrDefault>
      <w:pPr>
        <w:suppressAutoHyphens w:val="true"/>
        <w:jc w:val="start"/>
      </w:pPr>
    </w:pPrDefault>
  </w:docDefaults>
  <w:style w:type="paragraph" w:styleId="Normal">
    <w:name w:val="Normal"/>
    <w:qFormat/>
    <w:pPr>
      <w:widowControl/>
      <w:suppressAutoHyphens w:val="true"/>
      <w:bidi w:val="1"/>
      <w:spacing w:before="0" w:after="0"/>
      <w:jc w:val="start"/>
    </w:pPr>
    <w:rPr>
      <w:rFonts w:ascii="Liberation Serif" w:hAnsi="Liberation Serif" w:eastAsia="NSimSun" w:cs="Tahoma"/>
      <w:color w:val="auto"/>
      <w:kern w:val="2"/>
      <w:sz w:val="24"/>
      <w:szCs w:val="24"/>
      <w:lang w:val="en-US" w:eastAsia="zh-CN" w:bidi="ar-SA"/>
    </w:rPr>
  </w:style>
  <w:style w:type="paragraph" w:styleId="Heading3">
    <w:name w:val="heading 3"/>
    <w:basedOn w:val="Style14"/>
    <w:next w:val="BodyText"/>
    <w:qFormat/>
    <w:pPr>
      <w:spacing w:before="140" w:after="120"/>
      <w:outlineLvl w:val="2"/>
    </w:pPr>
    <w:rPr>
      <w:rFonts w:ascii="Liberation Serif" w:hAnsi="Liberation Serif" w:eastAsia="NSimSun" w:cs="Tahoma"/>
      <w:b/>
      <w:bCs/>
      <w:sz w:val="28"/>
      <w:szCs w:val="28"/>
    </w:rPr>
  </w:style>
  <w:style w:type="character" w:styleId="Strong">
    <w:name w:val="Strong"/>
    <w:qFormat/>
    <w:rPr>
      <w:b/>
      <w:bCs/>
    </w:rPr>
  </w:style>
  <w:style w:type="character" w:styleId="user">
    <w:name w:val="نقاط (user)"/>
    <w:qFormat/>
    <w:rPr>
      <w:rFonts w:ascii="OpenSymbol" w:hAnsi="OpenSymbol" w:eastAsia="OpenSymbol" w:cs="OpenSymbol"/>
    </w:rPr>
  </w:style>
  <w:style w:type="character" w:styleId="user1">
    <w:name w:val="أحرف التعليق الختامي (user)"/>
    <w:qFormat/>
    <w:rPr/>
  </w:style>
  <w:style w:type="character" w:styleId="Style13">
    <w:name w:val="أحرف التعليق الختامي"/>
    <w:qFormat/>
    <w:rPr>
      <w:vertAlign w:val="superscript"/>
    </w:rPr>
  </w:style>
  <w:style w:type="character" w:styleId="EndnoteReference">
    <w:name w:val="endnote reference"/>
    <w:rPr>
      <w:vertAlign w:val="superscript"/>
    </w:rPr>
  </w:style>
  <w:style w:type="paragraph" w:styleId="Style14">
    <w:name w:val="عنوان رئيسي"/>
    <w:basedOn w:val="Normal"/>
    <w:next w:val="BodyText"/>
    <w:qFormat/>
    <w:pPr>
      <w:keepNext w:val="true"/>
      <w:spacing w:before="240" w:after="120"/>
    </w:pPr>
    <w:rPr>
      <w:rFonts w:ascii="Liberation Sans" w:hAnsi="Liberation Sans" w:eastAsia="Microsoft YaHei" w:cs="Tahoma"/>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Tahoma"/>
    </w:rPr>
  </w:style>
  <w:style w:type="paragraph" w:styleId="Caption">
    <w:name w:val="caption"/>
    <w:basedOn w:val="Normal"/>
    <w:qFormat/>
    <w:pPr>
      <w:suppressLineNumbers/>
      <w:spacing w:before="120" w:after="120"/>
    </w:pPr>
    <w:rPr>
      <w:rFonts w:cs="Tahoma"/>
      <w:i/>
      <w:iCs/>
      <w:sz w:val="24"/>
      <w:szCs w:val="24"/>
    </w:rPr>
  </w:style>
  <w:style w:type="paragraph" w:styleId="Style15">
    <w:name w:val="فهرس"/>
    <w:basedOn w:val="Normal"/>
    <w:qFormat/>
    <w:pPr>
      <w:suppressLineNumbers/>
    </w:pPr>
    <w:rPr>
      <w:rFonts w:cs="Tahoma"/>
    </w:rPr>
  </w:style>
  <w:style w:type="paragraph" w:styleId="user2">
    <w:name w:val="عنوان رئيسي (user)"/>
    <w:basedOn w:val="Normal"/>
    <w:next w:val="BodyText"/>
    <w:qFormat/>
    <w:pPr>
      <w:keepNext w:val="true"/>
      <w:spacing w:before="240" w:after="120"/>
    </w:pPr>
    <w:rPr>
      <w:rFonts w:ascii="Liberation Sans" w:hAnsi="Liberation Sans" w:eastAsia="Microsoft YaHei" w:cs="Tahoma"/>
      <w:sz w:val="28"/>
      <w:szCs w:val="28"/>
    </w:rPr>
  </w:style>
  <w:style w:type="paragraph" w:styleId="user3">
    <w:name w:val="فهرس (user)"/>
    <w:basedOn w:val="Normal"/>
    <w:qFormat/>
    <w:pPr>
      <w:suppressLineNumbers/>
    </w:pPr>
    <w:rPr>
      <w:rFonts w:cs="Tahoma"/>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Header">
    <w:name w:val="header"/>
    <w:basedOn w:val="HeaderandFooter"/>
    <w:pPr>
      <w:suppressLineNumbers/>
    </w:pPr>
    <w:rPr/>
  </w:style>
  <w:style w:type="paragraph" w:styleId="Style16">
    <w:name w:val="خط أفقي"/>
    <w:basedOn w:val="Normal"/>
    <w:next w:val="BodyText"/>
    <w:qFormat/>
    <w:pPr>
      <w:suppressLineNumbers/>
      <w:pBdr>
        <w:bottom w:val="double" w:sz="2" w:space="0" w:color="808080"/>
      </w:pBdr>
      <w:spacing w:before="0" w:after="283"/>
    </w:pPr>
    <w:rPr>
      <w:sz w:val="12"/>
      <w:szCs w:val="12"/>
    </w:rPr>
  </w:style>
  <w:style w:type="paragraph" w:styleId="Style17">
    <w:name w:val="محتويات الجدول"/>
    <w:basedOn w:val="Normal"/>
    <w:qFormat/>
    <w:pPr>
      <w:widowControl w:val="false"/>
      <w:suppressLineNumbers/>
    </w:pPr>
    <w:rPr/>
  </w:style>
  <w:style w:type="paragraph" w:styleId="user4">
    <w:name w:val="محتويات الإطار (user)"/>
    <w:basedOn w:val="Normal"/>
    <w:qFormat/>
    <w:pPr/>
    <w:rPr/>
  </w:style>
  <w:style w:type="paragraph" w:styleId="EndnoteText">
    <w:name w:val="endnote text"/>
    <w:basedOn w:val="Normal"/>
    <w:pPr>
      <w:suppressLineNumbers/>
      <w:ind w:hanging="340" w:start="340"/>
    </w:pPr>
    <w:rPr>
      <w:sz w:val="20"/>
      <w:szCs w:val="20"/>
    </w:rPr>
  </w:style>
  <w:style w:type="paragraph" w:styleId="Footer">
    <w:name w:val="footer"/>
    <w:basedOn w:val="HeaderandFooter"/>
    <w:pPr>
      <w:suppressLineNumbers/>
      <w:tabs>
        <w:tab w:val="clear" w:pos="4819"/>
        <w:tab w:val="clear" w:pos="9638"/>
        <w:tab w:val="center" w:pos="4813" w:leader="none"/>
        <w:tab w:val="right" w:pos="9626" w:leader="none"/>
      </w:tabs>
    </w:pPr>
    <w:rPr/>
  </w:style>
  <w:style w:type="paragraph" w:styleId="Style18">
    <w:name w:val="محتويات الإطار"/>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chart" Target="charts/chart1.xml"/><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header" Target="header3.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sz="1300" strike="noStrike" u="none">
                <a:uFillTx/>
                <a:latin typeface="Arial"/>
              </a:defRPr>
            </a:pPr>
            <a:r>
              <a:rPr b="0" sz="1300" strike="noStrike" u="none">
                <a:solidFill>
                  <a:srgbClr val="000000"/>
                </a:solidFill>
                <a:uFillTx/>
                <a:latin typeface="Arial"/>
                <a:ea typeface="DejaVu Sans"/>
              </a:rPr>
              <a:t>صرفيات الأقسام في اخر سنة</a:t>
            </a:r>
          </a:p>
        </c:rich>
      </c:tx>
      <c:overlay val="0"/>
      <c:spPr>
        <a:noFill/>
        <a:ln w="0">
          <a:noFill/>
        </a:ln>
      </c:spPr>
    </c:title>
    <c:autoTitleDeleted val="0"/>
    <c:plotArea>
      <c:barChart>
        <c:barDir val="col"/>
        <c:grouping val="clustered"/>
        <c:varyColors val="0"/>
        <c:ser>
          <c:idx val="0"/>
          <c:order val="0"/>
          <c:tx>
            <c:strRef>
              <c:f>label 0</c:f>
              <c:strCache>
                <c:ptCount val="1"/>
                <c:pt idx="0">
                  <c:v>العمود 1</c:v>
                </c:pt>
              </c:strCache>
            </c:strRef>
          </c:tx>
          <c:spPr>
            <a:solidFill>
              <a:srgbClr val="004586"/>
            </a:solidFill>
            <a:ln w="0">
              <a:noFill/>
            </a:ln>
          </c:spPr>
          <c:invertIfNegative val="0"/>
          <c:dLbls>
            <c:txPr>
              <a:bodyPr wrap="none"/>
              <a:lstStyle/>
              <a:p>
                <a:pPr>
                  <a:defRPr b="0" sz="1000" strike="noStrike" u="none">
                    <a:solidFill>
                      <a:srgbClr val="000000"/>
                    </a:solidFill>
                    <a:uFillTx/>
                    <a:latin typeface="Arial"/>
                    <a:ea typeface="DejaVu Sans"/>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4"/>
                <c:pt idx="0">
                  <c:v>قسم الإنتاج</c:v>
                </c:pt>
                <c:pt idx="1">
                  <c:v>قسم التسويق</c:v>
                </c:pt>
                <c:pt idx="2">
                  <c:v>قسم تكنلوجيا المعلومات</c:v>
                </c:pt>
                <c:pt idx="3">
                  <c:v>قسم الموارد البشرية</c:v>
                </c:pt>
              </c:strCache>
            </c:strRef>
          </c:cat>
          <c:val>
            <c:numRef>
              <c:f>0</c:f>
              <c:numCache>
                <c:formatCode>General</c:formatCode>
                <c:ptCount val="4"/>
                <c:pt idx="0">
                  <c:v>500000</c:v>
                </c:pt>
                <c:pt idx="1">
                  <c:v>300000</c:v>
                </c:pt>
                <c:pt idx="2">
                  <c:v>250000</c:v>
                </c:pt>
                <c:pt idx="3">
                  <c:v>150000</c:v>
                </c:pt>
              </c:numCache>
            </c:numRef>
          </c:val>
        </c:ser>
        <c:gapWidth val="100"/>
        <c:overlap val="0"/>
        <c:axId val="458435"/>
        <c:axId val="27770523"/>
      </c:barChart>
      <c:catAx>
        <c:axId val="458435"/>
        <c:scaling>
          <c:orientation val="maxMin"/>
        </c:scaling>
        <c:delete val="0"/>
        <c:axPos val="b"/>
        <c:numFmt formatCode="[$-401]d/m/yyyy" sourceLinked="0"/>
        <c:majorTickMark val="out"/>
        <c:minorTickMark val="none"/>
        <c:tickLblPos val="nextTo"/>
        <c:spPr>
          <a:ln w="0">
            <a:solidFill>
              <a:srgbClr val="b3b3b3"/>
            </a:solidFill>
          </a:ln>
        </c:spPr>
        <c:txPr>
          <a:bodyPr/>
          <a:lstStyle/>
          <a:p>
            <a:pPr>
              <a:defRPr b="0" sz="1000" strike="noStrike" u="none">
                <a:solidFill>
                  <a:srgbClr val="000000"/>
                </a:solidFill>
                <a:uFillTx/>
                <a:latin typeface="Arial"/>
                <a:ea typeface="DejaVu Sans"/>
              </a:defRPr>
            </a:pPr>
          </a:p>
        </c:txPr>
        <c:crossAx val="27770523"/>
        <c:crosses val="autoZero"/>
        <c:auto val="1"/>
        <c:lblAlgn val="ctr"/>
        <c:lblOffset val="100"/>
        <c:noMultiLvlLbl val="0"/>
      </c:catAx>
      <c:valAx>
        <c:axId val="27770523"/>
        <c:scaling>
          <c:orientation val="minMax"/>
        </c:scaling>
        <c:delete val="0"/>
        <c:axPos val="l"/>
        <c:majorGridlines>
          <c:spPr>
            <a:ln w="0">
              <a:solidFill>
                <a:srgbClr val="b3b3b3"/>
              </a:solidFill>
            </a:ln>
          </c:spPr>
        </c:majorGridlines>
        <c:numFmt formatCode="General" sourceLinked="0"/>
        <c:majorTickMark val="out"/>
        <c:minorTickMark val="none"/>
        <c:tickLblPos val="nextTo"/>
        <c:spPr>
          <a:ln w="0">
            <a:solidFill>
              <a:srgbClr val="b3b3b3"/>
            </a:solidFill>
          </a:ln>
        </c:spPr>
        <c:txPr>
          <a:bodyPr/>
          <a:lstStyle/>
          <a:p>
            <a:pPr>
              <a:defRPr b="0" sz="1000" strike="noStrike" u="none">
                <a:solidFill>
                  <a:srgbClr val="000000"/>
                </a:solidFill>
                <a:uFillTx/>
                <a:latin typeface="Arial"/>
                <a:ea typeface="DejaVu Sans"/>
              </a:defRPr>
            </a:pPr>
          </a:p>
        </c:txPr>
        <c:crossAx val="458435"/>
        <c:crosses val="autoZero"/>
        <c:crossBetween val="between"/>
      </c:valAx>
      <c:spPr>
        <a:noFill/>
        <a:ln w="0">
          <a:solidFill>
            <a:srgbClr val="b3b3b3"/>
          </a:solidFill>
        </a:ln>
      </c:spPr>
    </c:plotArea>
    <c:plotVisOnly val="1"/>
    <c:dispBlanksAs val="gap"/>
  </c:chart>
  <c:spPr>
    <a:noFill/>
    <a:ln w="0">
      <a:noFill/>
    </a:ln>
  </c:spPr>
</c:chartSpace>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3</TotalTime>
  <Application>LibreOffice/25.2.3.2$Windows_X86_64 LibreOffice_project/bbb074479178df812d175f709636b368952c2ce3</Application>
  <AppVersion>15.0000</AppVersion>
  <Pages>2</Pages>
  <Words>186</Words>
  <Characters>970</Characters>
  <CharactersWithSpaces>1123</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2025-05-22T23:28:01Z</dcterms:created>
  <dc:creator/>
  <dc:description/>
  <dc:language>ar-SA</dc:language>
  <cp:lastModifiedBy/>
  <dcterms:modified xsi:type="dcterms:W3CDTF">2025-06-01T22:53:11Z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