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52"/>
        </w:rPr>
        <w:t>AquaPure Smart Filters FZE</w:t>
      </w:r>
    </w:p>
    <w:p>
      <w:pPr>
        <w:jc w:val="center"/>
      </w:pPr>
      <w:r>
        <w:rPr>
          <w:b w:val="0"/>
          <w:color w:val="475569"/>
          <w:sz w:val="26"/>
        </w:rPr>
        <w:t>Dubai Smart Water Filtration Expansion Plan</w:t>
      </w:r>
    </w:p>
    <w:p/>
    <w:p>
      <w:pPr>
        <w:jc w:val="center"/>
      </w:pPr>
      <w:r>
        <w:rPr>
          <w:b/>
          <w:color w:val="2563EB"/>
          <w:sz w:val="36"/>
        </w:rPr>
        <w:t>Business Plan Financial Projection Report</w:t>
      </w:r>
    </w:p>
    <w:p>
      <w:pPr>
        <w:jc w:val="center"/>
      </w:pPr>
      <w:r>
        <w:rPr>
          <w:b w:val="0"/>
          <w:color w:val="475569"/>
          <w:sz w:val="24"/>
        </w:rPr>
        <w:t>Five-Year Projected Financial Study</w:t>
      </w:r>
    </w:p>
    <w:p/>
    <w:p>
      <w:pPr>
        <w:jc w:val="center"/>
      </w:pPr>
      <w:r>
        <w:rPr>
          <w:b w:val="0"/>
          <w:color w:val="475569"/>
          <w:sz w:val="22"/>
        </w:rPr>
        <w:t>Currency: AED</w:t>
      </w:r>
    </w:p>
    <w:p>
      <w:pPr>
        <w:jc w:val="center"/>
      </w:pPr>
      <w:r>
        <w:rPr>
          <w:b w:val="0"/>
          <w:color w:val="475569"/>
          <w:sz w:val="22"/>
        </w:rPr>
        <w:t>Scenario: Base Case</w:t>
      </w:r>
    </w:p>
    <w:p>
      <w:pPr>
        <w:jc w:val="center"/>
      </w:pPr>
      <w:r>
        <w:rPr>
          <w:b w:val="0"/>
          <w:color w:val="475569"/>
          <w:sz w:val="22"/>
        </w:rPr>
        <w:t>Projection period: 2026–2030</w:t>
      </w:r>
    </w:p>
    <w:p>
      <w:pPr>
        <w:jc w:val="center"/>
      </w:pPr>
      <w:r>
        <w:rPr>
          <w:b w:val="0"/>
          <w:color w:val="475569"/>
          <w:sz w:val="22"/>
        </w:rPr>
        <w:t>Prepared for: Prospective Investors</w:t>
      </w:r>
    </w:p>
    <w:p>
      <w:pPr>
        <w:jc w:val="center"/>
      </w:pPr>
      <w:r>
        <w:rPr>
          <w:b w:val="0"/>
          <w:color w:val="475569"/>
          <w:sz w:val="22"/>
        </w:rPr>
        <w:t>Prepared: 12 June 2026</w:t>
      </w:r>
    </w:p>
    <w:p/>
    <w:p/>
    <w:p>
      <w:pPr>
        <w:jc w:val="center"/>
      </w:pPr>
      <w:r>
        <w:rPr>
          <w:b/>
          <w:color w:val="B91C1C"/>
          <w:sz w:val="22"/>
        </w:rPr>
        <w:t>CONFIDENTIAL</w:t>
      </w:r>
    </w:p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Table of Contents</w:t>
      </w:r>
    </w:p>
    <w:p>
      <w:r>
        <w:rPr>
          <w:i/>
          <w:sz w:val="18"/>
        </w:rPr>
        <w:t>Right-click the list below and choose 'Update Field' in Microsoft Word to refresh page numbers.</w:t>
      </w:r>
    </w:p>
    <w:p>
      <w:r>
        <w:rPr>
          <w:sz w:val="20"/>
        </w:rPr>
        <w:t>1.  Executive Summary</w:t>
      </w:r>
    </w:p>
    <w:p>
      <w:r>
        <w:rPr>
          <w:sz w:val="20"/>
        </w:rPr>
        <w:t>2.  Business Overview</w:t>
      </w:r>
    </w:p>
    <w:p>
      <w:r>
        <w:rPr>
          <w:sz w:val="20"/>
        </w:rPr>
        <w:t>3.  Products and Revenue Model</w:t>
      </w:r>
    </w:p>
    <w:p>
      <w:r>
        <w:rPr>
          <w:sz w:val="20"/>
        </w:rPr>
        <w:t>4.  Projection Assumptions</w:t>
      </w:r>
    </w:p>
    <w:p>
      <w:r>
        <w:rPr>
          <w:sz w:val="20"/>
        </w:rPr>
        <w:t>5.  Operating Model</w:t>
      </w:r>
    </w:p>
    <w:p>
      <w:r>
        <w:rPr>
          <w:sz w:val="20"/>
        </w:rPr>
        <w:t>6.  Capital Expenditure and Assets</w:t>
      </w:r>
    </w:p>
    <w:p>
      <w:r>
        <w:rPr>
          <w:sz w:val="20"/>
        </w:rPr>
        <w:t>7.  Working Capital and Financing</w:t>
      </w:r>
    </w:p>
    <w:p>
      <w:r>
        <w:rPr>
          <w:sz w:val="20"/>
        </w:rPr>
        <w:t>8.  Financial Statements</w:t>
      </w:r>
    </w:p>
    <w:p>
      <w:r>
        <w:rPr>
          <w:sz w:val="20"/>
        </w:rPr>
        <w:t>9.  Financial Analysis</w:t>
      </w:r>
    </w:p>
    <w:p>
      <w:r>
        <w:rPr>
          <w:sz w:val="20"/>
        </w:rPr>
        <w:t>10.  Scenario Comparison</w:t>
      </w:r>
    </w:p>
    <w:p>
      <w:r>
        <w:rPr>
          <w:sz w:val="20"/>
        </w:rPr>
        <w:t>11.  Risks, Warnings and Reconciliations</w:t>
      </w:r>
    </w:p>
    <w:p>
      <w:r>
        <w:rPr>
          <w:sz w:val="20"/>
        </w:rPr>
        <w:t>12.  Appendices</w:t>
      </w:r>
    </w:p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1. Executive Summary</w:t>
      </w:r>
    </w:p>
    <w:p>
      <w:r>
        <w:rPr>
          <w:i w:val="0"/>
          <w:sz w:val="20"/>
        </w:rPr>
        <w:t>AquaPure Smart Filters FZE imports high-quality water filtration components, assembles smart filtration systems locally, installs them for residential and commercial customers, and provides ongoing maintenance, filter replacement, and IoT-based water quality monitoring subscriptions.</w:t>
      </w:r>
    </w:p>
    <w:p>
      <w:r>
        <w:rPr>
          <w:i w:val="0"/>
          <w:sz w:val="20"/>
        </w:rPr>
        <w:t>This report presents a 2026–2030 projected financial study for AquaPure Smart Filters FZE under the Base Case, prepared in AED.</w:t>
      </w:r>
    </w:p>
    <w:p>
      <w:pPr>
        <w:pStyle w:val="Heading3"/>
      </w:pPr>
      <w:r>
        <w:t>Key projected highlights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Total projected revenue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20,627,338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Year 5 revenue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6,893,373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Gross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30.8%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EBITDA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(34.8%)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Net profit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(37.8%)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Closing cash (final year)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(8,069,249)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Total assets (final year)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(6,086,086)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Total borrowings (final year)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Total equity (final year)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(7,077,590)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Break-even target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30 Jun 2027</w:t>
            </w:r>
          </w:p>
        </w:tc>
      </w:tr>
    </w:tbl>
    <w:p>
      <w:pPr>
        <w:pStyle w:val="Heading3"/>
      </w:pPr>
      <w:r>
        <w:t>Analytical commentary</w:t>
      </w:r>
    </w:p>
    <w:p>
      <w:pPr>
        <w:pStyle w:val="ListBullet"/>
      </w:pPr>
      <w:r>
        <w:t>Revenue grows from 2,018,507 to 6,893,373 AED, a CAGR of 35.9%.</w:t>
      </w:r>
    </w:p>
    <w:p>
      <w:pPr>
        <w:pStyle w:val="ListBullet"/>
      </w:pPr>
      <w:r>
        <w:t>Gross margin moves from 36.1% to 27.8% across the projection.</w:t>
      </w:r>
    </w:p>
    <w:p>
      <w:pPr>
        <w:pStyle w:val="ListBullet"/>
      </w:pPr>
      <w:r>
        <w:t>Closing cash turns negative in Year 1, indicating a potential funding gap.</w:t>
      </w:r>
    </w:p>
    <w:p>
      <w:pPr>
        <w:pStyle w:val="ListBullet"/>
      </w:pPr>
      <w:r>
        <w:t>Receivables rise as credit sales grow, increasing working capital requirements.</w:t>
      </w:r>
    </w:p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2. Business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Business name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AquaPure Smart Filters FZE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Dubai Smart Water Filtration Expansion Plan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Country / City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Dubai, United Arab Emirates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Industry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Water Treatment &amp; Smart Home Services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Business model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Other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Tax jurisdiction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United Arab Emirates Corporate Tax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Reporting standard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Investor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Projection start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01 Jan 2026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Projection period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5 Years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Projection frequency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Monthly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AquaPure Smart Filters FZE imports high-quality water filtration components, assembles smart filtration systems locally, installs them for residential and commercial customers, and provides ongoing maintenance, filter replacement, and IoT-based water quality monitoring subscriptions.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3. Products and Revenue Model</w:t>
      </w:r>
    </w:p>
    <w:p>
      <w:pPr>
        <w:pStyle w:val="Heading3"/>
      </w:pPr>
      <w:r>
        <w:t>Products and services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Product / Service</w:t>
            </w:r>
          </w:p>
        </w:tc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Revenue type</w:t>
            </w:r>
          </w:p>
        </w:tc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Launch</w:t>
            </w:r>
          </w:p>
        </w:tc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>Residential Smart Filtration System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Product Sale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Unit Sales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2,800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01 Jan 2026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>Commercial Smart Filtration System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Product Sale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Unit Sales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8,500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01 Feb 2026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>Standard Installation Service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Service Contract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Installation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650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01 Jan 2026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>Annual Maintenance Contract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Recurring Service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Subscription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Annual contract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1,200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01 Mar 2026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>Replacement Filter Pack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Consumables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Unit Sales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Filter pack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480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01 Apr 2026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>Smart Water Monitoring Subscription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SaaS / Monitoring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Subscription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Monthly subscription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01 Jun 2026</w:t>
            </w:r>
          </w:p>
        </w:tc>
        <w:tc>
          <w:tcPr>
            <w:tcW w:type="dxa" w:w="1419"/>
          </w:tcPr>
          <w:p>
            <w:r>
              <w:rPr>
                <w:b w:val="0"/>
                <w:sz w:val="18"/>
              </w:rPr>
              <w:t>Active</w:t>
            </w:r>
          </w:p>
        </w:tc>
      </w:tr>
    </w:tbl>
    <w:p>
      <w:pPr>
        <w:pStyle w:val="Heading3"/>
      </w:pPr>
      <w:r>
        <w:t>Revenue by stream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Product revenue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1,709,471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2,414,202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3,255,824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4,411,301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6,007,050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17,797,848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Service revenue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277,580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360,412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467,961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607,604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788,917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2,502,473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Subscription revenue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31,456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53,801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65,058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79,295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97,406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327,017</w:t>
            </w:r>
          </w:p>
        </w:tc>
      </w:tr>
      <w:tr>
        <w:tc>
          <w:tcPr>
            <w:tcW w:type="dxa" w:w="1419"/>
            <w:shd w:val="clear" w:fill="F1F5F9"/>
          </w:tcPr>
          <w:p>
            <w:r>
              <w:rPr>
                <w:b/>
                <w:sz w:val="18"/>
              </w:rPr>
              <w:t>Total revenue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2,018,507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2,828,415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3,788,844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5,098,199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6,893,373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20,627,338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4. Projection Assumptions</w:t>
      </w:r>
    </w:p>
    <w:p>
      <w:pPr>
        <w:pStyle w:val="Heading3"/>
      </w:pPr>
      <w:r>
        <w:t>Direct cost of sales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Product direct costs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893,793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1,301,906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1,816,406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2,544,281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3,579,296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10,135,682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Service delivery costs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191,087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276,322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378,963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519,810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713,116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2,079,297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Subscription direct costs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3,450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6,622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7,577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8,670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9,920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36,240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Payment gateway fees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48,444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67,882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90,932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122,357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165,441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495,056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Sales commissions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75,930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102,111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133,760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175,312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229,896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717,009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Warranty provision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32,582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43,769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57,341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75,161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98,572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307,425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Import/customs costs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44,690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65,095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90,820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127,214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178,965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506,784</w:t>
            </w:r>
          </w:p>
        </w:tc>
      </w:tr>
      <w:tr>
        <w:tc>
          <w:tcPr>
            <w:tcW w:type="dxa" w:w="1419"/>
            <w:shd w:val="clear" w:fill="F1F5F9"/>
          </w:tcPr>
          <w:p>
            <w:r>
              <w:rPr>
                <w:b/>
                <w:sz w:val="18"/>
              </w:rPr>
              <w:t>Total cost of sales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1,289,976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1,863,709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2,575,799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3,572,804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4,975,206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14,277,493</w:t>
            </w:r>
          </w:p>
        </w:tc>
      </w:tr>
    </w:tbl>
    <w:p>
      <w:pPr>
        <w:pStyle w:val="Heading3"/>
      </w:pPr>
      <w:r>
        <w:t>Operating expenses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Selling and distribution expenses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460,250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547,770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589,544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634,558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683,065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2,915,187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Administrative expenses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413,800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467,360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488,891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511,440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535,056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2,416,548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Staff costs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1,372,720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1,531,964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1,604,643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1,680,883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1,760,859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7,951,069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Technology and platform expenses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45,600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47,424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49,321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51,294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53,346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246,984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Depreciation and amortisation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99,229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112,250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112,250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99,250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81,021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504,000</w:t>
            </w:r>
          </w:p>
        </w:tc>
      </w:tr>
      <w:tr>
        <w:tc>
          <w:tcPr>
            <w:tcW w:type="dxa" w:w="1419"/>
            <w:shd w:val="clear" w:fill="F1F5F9"/>
          </w:tcPr>
          <w:p>
            <w:r>
              <w:rPr>
                <w:b/>
                <w:sz w:val="18"/>
              </w:rPr>
              <w:t>Total operating expenses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2,391,599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2,706,768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2,844,649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2,977,425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3,113,346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14,033,788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5. Operating Model</w:t>
      </w:r>
    </w:p>
    <w:p>
      <w:pPr>
        <w:pStyle w:val="Heading3"/>
      </w:pPr>
      <w:r>
        <w:t>Staffing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987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87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Employees</w:t>
            </w:r>
          </w:p>
        </w:tc>
        <w:tc>
          <w:tcPr>
            <w:tcW w:type="dxa" w:w="1987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Monthly salary</w:t>
            </w:r>
          </w:p>
        </w:tc>
        <w:tc>
          <w:tcPr>
            <w:tcW w:type="dxa" w:w="1987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Start date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General Manager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24,000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Jan 2026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Sales Manager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16,000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Jan 2026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Sales Executive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8,000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Jan 2026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Operations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Installation &amp; Maintenance Technician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6,500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Jan 2026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Customer Support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Customer Support Coordinator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6,000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Mar 2026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Accountant / Admin Officer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7,500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Jan 2026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18"/>
              </w:rPr>
              <w:t>Technology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IoT Platform Specialist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7"/>
          </w:tcPr>
          <w:p>
            <w:pPr>
              <w:jc w:val="right"/>
            </w:pPr>
            <w:r>
              <w:rPr>
                <w:b w:val="0"/>
                <w:sz w:val="18"/>
              </w:rPr>
              <w:t>14,000</w:t>
            </w:r>
          </w:p>
        </w:tc>
        <w:tc>
          <w:tcPr>
            <w:tcW w:type="dxa" w:w="1987"/>
          </w:tcPr>
          <w:p>
            <w:r>
              <w:rPr>
                <w:b w:val="0"/>
                <w:sz w:val="18"/>
              </w:rPr>
              <w:t>01 Jun 2026</w:t>
            </w:r>
          </w:p>
        </w:tc>
      </w:tr>
    </w:tbl>
    <w:p>
      <w:pPr>
        <w:pStyle w:val="Heading3"/>
      </w:pPr>
      <w:r>
        <w:t>Total staff cost by year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Customer support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64,800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80,870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84,105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87,469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90,968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408,213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Finance &amp; administration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97,200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101,088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105,132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109,337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113,710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526,467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Management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379,260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397,548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416,750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436,913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458,084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2,088,555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Operations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285,900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298,770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312,284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326,473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341,371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1,564,797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Sales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437,760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459,648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482,630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506,762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532,100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2,418,900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Technology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107,800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194,040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203,742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213,929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224,626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944,137</w:t>
            </w:r>
          </w:p>
        </w:tc>
      </w:tr>
      <w:tr>
        <w:tc>
          <w:tcPr>
            <w:tcW w:type="dxa" w:w="1419"/>
            <w:shd w:val="clear" w:fill="F1F5F9"/>
          </w:tcPr>
          <w:p>
            <w:r>
              <w:rPr>
                <w:b/>
                <w:sz w:val="18"/>
              </w:rPr>
              <w:t>Total staff cost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1,372,720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1,531,964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1,604,643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1,680,883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1,760,859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7,951,069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6. Capital Expenditure and Assets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Life (yrs)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NBV (final year)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Assembly Tools and Workbench Equipment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Equipment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85,000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Straight Line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Delivery and Service Van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Vehicle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145,000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Straight Line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25,000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Office Furniture and Fit-out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95,000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Straight Line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10,000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Computers and Devices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Computers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42,000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Straight Line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3,000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IoT Monitoring Platform Development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Software Development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125,000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Straight Line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Warehouse Shelving and Storage System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Leasehold Improvements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60,000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Straight Line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5,000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7. Working Capital and Financing</w:t>
      </w:r>
    </w:p>
    <w:p>
      <w:pPr>
        <w:pStyle w:val="Heading3"/>
      </w:pPr>
      <w:r>
        <w:t>Working capital assumptions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Accounts receivable days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% sales on credit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55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Accounts payable days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40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Inventory days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70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Minimum cash balance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150,000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Bad debt %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Customer deposit %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Supplier advance %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Safety stock %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Stock purchase cycle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Monthly</w:t>
            </w:r>
          </w:p>
        </w:tc>
      </w:tr>
    </w:tbl>
    <w:p>
      <w:pPr>
        <w:pStyle w:val="Heading3"/>
      </w:pPr>
      <w:r>
        <w:t>Equity funding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Founder capital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650,000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Investor equity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350,000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Investor name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Gulf Seed Growth Investor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Shareholding %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25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Use of funds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Inventory purchase, marketing launch, IoT platform development, working capital buffer, and hiring.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Dividend policy %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20</w:t>
            </w:r>
          </w:p>
        </w:tc>
      </w:tr>
    </w:tbl>
    <w:p>
      <w:pPr>
        <w:pStyle w:val="Heading3"/>
      </w:pPr>
      <w:r>
        <w:t>Loans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Loan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 (m)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Grace (m)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Repayment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Vehicle and Equipment Finance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250,000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8.5%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Equal Installments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Working Capital Facility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300,000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10.0%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Interest Only Then Principal</w:t>
            </w:r>
          </w:p>
        </w:tc>
      </w:tr>
    </w:tbl>
    <w:p>
      <w:pPr>
        <w:pStyle w:val="Heading3"/>
      </w:pPr>
      <w:r>
        <w:t>Grants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Grant</w:t>
            </w:r>
          </w:p>
        </w:tc>
        <w:tc>
          <w:tcPr>
            <w:tcW w:type="dxa" w:w="2484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484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date</w:t>
            </w:r>
          </w:p>
        </w:tc>
        <w:tc>
          <w:tcPr>
            <w:tcW w:type="dxa" w:w="2484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Restrictions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Sustainability Innovation Support Grant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100,000</w:t>
            </w:r>
          </w:p>
        </w:tc>
        <w:tc>
          <w:tcPr>
            <w:tcW w:type="dxa" w:w="2484"/>
          </w:tcPr>
          <w:p>
            <w:r>
              <w:rPr>
                <w:b w:val="0"/>
                <w:sz w:val="18"/>
              </w:rPr>
              <w:t>01 Sep 2026</w:t>
            </w:r>
          </w:p>
        </w:tc>
        <w:tc>
          <w:tcPr>
            <w:tcW w:type="dxa" w:w="2484"/>
          </w:tcPr>
          <w:p>
            <w:r>
              <w:rPr>
                <w:b w:val="0"/>
                <w:sz w:val="18"/>
              </w:rPr>
              <w:t>Must be used for smart monitoring, water-efficiency awareness, and customer education.</w:t>
            </w:r>
          </w:p>
        </w:tc>
      </w:tr>
    </w:tbl>
    <w:p>
      <w:pPr>
        <w:pStyle w:val="Heading3"/>
      </w:pPr>
      <w:r>
        <w:t>Tax and VAT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Corporate tax rate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9.0%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VAT / sales tax rate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5.0%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VAT registration threshold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375,000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Customs duty rate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5.0%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Withholding tax rate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0.0%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Tax payment frequency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Yearly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VAT payment frequency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Quarterly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Tax loss carryforward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Enabled</w:t>
            </w:r>
          </w:p>
        </w:tc>
      </w:tr>
    </w:tbl>
    <w:p>
      <w:pPr>
        <w:pStyle w:val="Heading3"/>
      </w:pPr>
      <w:r>
        <w:t>KPI targets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Target gross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45.0%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Target EBITDA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18.0%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Target net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10.0%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Break-even target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30 Jun 2027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Min. monthly revenue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350,000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CAC target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650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LTV target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4,500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ROI target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25.0%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296" w:right="1152" w:bottom="1296" w:left="1152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6" w:color="2563EB" w:space="4"/>
        </w:pBdr>
      </w:pPr>
      <w:r>
        <w:t>8. Financial Statements</w:t>
      </w:r>
    </w:p>
    <w:p>
      <w:r>
        <w:rPr>
          <w:i/>
          <w:sz w:val="18"/>
        </w:rPr>
        <w:t>All figures in AED. Negative amounts are shown in parentheses; a dash indicates a nil balance.</w:t>
      </w:r>
    </w:p>
    <w:p>
      <w:pPr>
        <w:pStyle w:val="Heading3"/>
      </w:pPr>
      <w:r>
        <w:t>Statement of Profit or Loss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Product revenue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1,709,471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2,414,202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3,255,824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4,411,301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6,007,050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Service revenue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277,580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360,412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467,961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607,604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788,917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Subscription revenue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31,456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53,801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65,058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79,295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97,406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revenue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2,018,507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2,828,415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3,788,844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5,098,199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6,893,373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Cost of sales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Product direct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893,793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1,301,906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1,816,406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2,544,281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3,579,296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Service delivery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191,087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276,322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378,963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519,810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713,116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Subscription direct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3,450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6,622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7,577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8,670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9,920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Payment gateway fees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48,444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67,882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90,932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122,357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165,441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Sales commissions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75,930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102,111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133,760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175,312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229,896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Warranty provision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32,582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43,769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57,341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75,161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98,572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Import/customs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44,690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65,095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90,820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127,214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178,965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cost of sales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1,289,976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1,863,709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2,575,799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3,572,804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4,975,206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728,530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964,706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1,213,045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1,525,396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1,918,167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Operating expenses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Selling and distribution expenses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460,250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547,770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589,544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634,558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683,065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Administrative expenses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413,800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467,360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488,891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511,440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535,056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Staff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1,372,720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1,531,964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1,604,643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1,680,883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1,760,859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Technology and platform expenses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45,600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47,424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49,321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51,294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53,346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Depreciation and amortisation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99,229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112,250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112,250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99,250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81,021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operating expenses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2,391,599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2,706,768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2,844,649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2,977,425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3,113,346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Operating profit / (loss)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(1,663,069)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(1,742,062)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(1,631,605)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(1,452,029)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(1,195,179)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Finance costs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Vehicle and Equipment Finance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20,959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16,043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10,476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4,417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Working Capital Facility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23,750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23,500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11,500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finance costs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44,709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39,543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21,976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5,417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Profit / (loss) before tax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(1,707,778)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(1,781,606)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(1,653,581)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(1,457,446)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(1,195,179)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Income tax expense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Profit / (loss) for the period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(1,707,778)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(1,781,606)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(1,653,581)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(1,457,446)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(1,195,179)</w:t>
            </w:r>
          </w:p>
        </w:tc>
      </w:tr>
    </w:tbl>
    <w:p>
      <w:pPr>
        <w:pStyle w:val="Heading3"/>
      </w:pPr>
      <w:r>
        <w:t>Statement of Financial Position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ASSETS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Non-current assets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Property, plant and equipment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346,000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265,000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184,000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116,000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48,000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Intangible assets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106,771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75,521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44,271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13,021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Other non-current assets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168,000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168,000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168,000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168,000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168,000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non-current assets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620,771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508,521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396,271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297,021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216,000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Current assets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Inventories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662,242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747,070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866,508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1,035,460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1,275,655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Trade and other receivables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134,378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179,354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240,351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323,508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437,509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Prepayments and deposits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54,000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54,000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54,000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54,000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54,000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VAT receivable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326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Cash and cash equivalents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(1,652,681)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(3,532,931)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(5,308,708)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(6,843,966)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(8,069,249)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current assets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(801,735)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(2,552,508)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(4,147,850)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(5,430,998)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(6,302,086)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assets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(180,964)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(2,043,987)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(3,751,579)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(5,133,977)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(6,086,086)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EQUITY AND LIABILITIES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Equity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Share capital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650,000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Additional paid-in capital / investor contribution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350,000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Retained earnings / (accumulated losses)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(1,989,778)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(3,771,384)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(5,424,965)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(6,882,411)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(8,077,590)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equity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(989,778)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(2,771,384)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(4,424,965)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(5,882,411)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(7,077,590)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Non-current liabilities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Long-term borrowings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293,160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104,609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End-of-service benefit provision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14,400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29,520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45,396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62,066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79,569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non-current liabilities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307,560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134,129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45,396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62,066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79,569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Current liabilities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Trade and other payables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285,811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359,715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460,602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599,521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792,384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Current portion of long-term borrowings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182,983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188,550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104,609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VAT payable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1,678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4,720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8,701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13,868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Tax payable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Accrued expenses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Customer deposits / contract liabilities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32,460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43,324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58,059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78,146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105,684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current liabilities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501,254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593,267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627,990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686,368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911,935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liabilities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808,814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727,397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673,386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748,434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991,504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Total equity and liabilities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(180,964)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(2,043,987)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(3,751,579)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(5,133,977)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(6,086,086)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 w:val="0"/>
                <w:sz w:val="18"/>
              </w:rPr>
              <w:t>Balance check (Assets - Equity &amp; Liabilities)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</w:tbl>
    <w:p>
      <w:pPr>
        <w:pStyle w:val="Heading3"/>
      </w:pPr>
      <w:r>
        <w:t>Statement of Cash Flows (indirect method)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2352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Cash flows from operating activities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Profit / (loss) before tax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(1,707,778)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(1,781,606)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(1,653,581)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(1,457,446)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(1,195,179)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Adjustments for: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Depreciation and amortisation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99,229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112,250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112,250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99,250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81,021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Finance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44,709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39,543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21,976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5,417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End-of-service benefit provision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14,400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15,120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15,876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16,670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17,503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Operating cash flows before working capital changes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(1,549,440)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(1,614,692)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(1,503,479)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(1,336,109)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(1,096,655)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Changes in working capital: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(Increase) / decrease in inventories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(217,242)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(84,828)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(119,438)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(168,952)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(240,195)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(Increase) / decrease in trade and other receivables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(134,378)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(44,975)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(60,997)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(83,157)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(114,001)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(Increase) / decrease in prepayments and deposits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Increase / (decrease) in trade and other payables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285,811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73,904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100,887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138,920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192,862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Increase / (decrease) in accrued expenses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Increase / (decrease) in customer deposits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32,460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10,864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14,734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20,087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27,538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Increase / (decrease) in VAT payable / receivable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(326)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2,003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3,042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3,980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5,167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Pre-operating / startup costs paid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(282,000)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Cash generated from / (used in) operations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(1,865,114)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(1,657,724)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(1,565,250)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(1,425,231)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(1,225,283)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Income tax paid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Net cash from / (used in) operating activities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(1,865,114)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(1,657,724)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(1,565,250)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(1,425,231)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(1,225,283)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Cash flows from investing activities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Purchase of property, plant and equipment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(427,000)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Purchase / development of intangible assets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(125,000)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Capitalized startup costs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(667,000)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Proceeds from disposal of assets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Net cash used in investing activities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(1,219,000)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E2E8F0"/>
          </w:tcPr>
          <w:p>
            <w:r>
              <w:rPr>
                <w:b/>
                <w:sz w:val="18"/>
              </w:rPr>
              <w:t>Cash flows from financing activities</w:t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  <w:tc>
          <w:tcPr>
            <w:tcW w:type="dxa" w:w="2352"/>
            <w:shd w:val="clear" w:fill="E2E8F0"/>
          </w:tcPr>
          <w:p>
            <w:pPr>
              <w:jc w:val="right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Proceeds from founder capital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650,000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Proceeds from investor equity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350,000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Proceeds from borrowings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550,000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Repayment of borrowings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(73,857)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(182,983)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(188,550)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(104,609)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Interest and finance charges paid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(44,709)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(39,543)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(21,976)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(5,417)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Grants received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</w:tcPr>
          <w:p>
            <w:r>
              <w:rPr>
                <w:b w:val="0"/>
                <w:sz w:val="18"/>
              </w:rPr>
              <w:t xml:space="preserve">   Dividends paid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352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Net cash from / (used in) financing activities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1,431,433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(222,527)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(210,527)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(110,027)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Net increase / (decrease) in cash and cash equivalents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(1,652,681)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(1,880,250)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(1,775,777)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(1,535,258)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(1,225,283)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Cash and cash equivalents at beginning of period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(1,652,681)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(3,532,931)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(5,308,708)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(6,843,966)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Cash and cash equivalents at end of period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(1,652,681)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(3,532,931)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(5,308,708)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(6,843,966)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(8,069,249)</w:t>
            </w:r>
          </w:p>
        </w:tc>
      </w:tr>
      <w:tr>
        <w:tc>
          <w:tcPr>
            <w:tcW w:type="dxa" w:w="2352"/>
            <w:shd w:val="clear" w:fill="F1F5F9"/>
          </w:tcPr>
          <w:p>
            <w:r>
              <w:rPr>
                <w:b/>
                <w:sz w:val="18"/>
              </w:rPr>
              <w:t>Cash reconciliation to Statement of Financial Position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  <w:tc>
          <w:tcPr>
            <w:tcW w:type="dxa" w:w="2352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–</w:t>
            </w:r>
          </w:p>
        </w:tc>
      </w:tr>
    </w:tbl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6" w:color="2563EB" w:space="4"/>
        </w:pBdr>
      </w:pPr>
      <w:r>
        <w:t>9. Financial Analysis</w:t>
      </w:r>
    </w:p>
    <w:p>
      <w:pPr>
        <w:pStyle w:val="Heading3"/>
      </w:pPr>
      <w:r>
        <w:t>Key performance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Gross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30.8%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EBITDA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(34.8%)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Net profit margin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(37.8%)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Return on assets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128.1%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Return on equity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110.1%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Current ratio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(6.91x)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Quick ratio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(8.31x)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Closing cash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(8,069,249)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Net working capital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(7,214,021)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Debt-to-equity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-0.00x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Debt-to-assets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-0.00x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Interest coverage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(64.31x)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Receivable days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35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Inventory days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70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Payable days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40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Cash conversion cycle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65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Operating cash flow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(7,738,603)</w:t>
            </w:r>
          </w:p>
        </w:tc>
      </w:tr>
      <w:tr>
        <w:tc>
          <w:tcPr>
            <w:tcW w:type="dxa" w:w="4968"/>
          </w:tcPr>
          <w:p>
            <w:r>
              <w:rPr>
                <w:b w:val="0"/>
                <w:sz w:val="18"/>
              </w:rPr>
              <w:t>Free cash flow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sz w:val="18"/>
              </w:rPr>
              <w:t>(8,290,603)</w:t>
            </w:r>
          </w:p>
        </w:tc>
      </w:tr>
    </w:tbl>
    <w:p>
      <w:r>
        <w:rPr>
          <w:i/>
          <w:color w:val="475569"/>
          <w:sz w:val="18"/>
        </w:rPr>
        <w:t>The charts below are generated from the projected financial statements and mirror the application's Financial Analysis dashboard.</w:t>
      </w:r>
    </w:p>
    <w:p>
      <w:pPr>
        <w:pStyle w:val="Heading3"/>
      </w:pPr>
      <w:r>
        <w:t>Executive Overview</w:t>
      </w:r>
    </w:p>
    <w:p>
      <w:r>
        <w:rPr>
          <w:i w:val="0"/>
          <w:color w:val="475569"/>
          <w:sz w:val="19"/>
        </w:rPr>
        <w:t>Headline growth, profitability and how revenue converts to profit.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6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5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Revenue Analysis</w:t>
      </w:r>
    </w:p>
    <w:p>
      <w:r>
        <w:rPr>
          <w:i w:val="0"/>
          <w:color w:val="475569"/>
          <w:sz w:val="19"/>
        </w:rPr>
        <w:t>Revenue composition, concentration and growth.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8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91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1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6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Cost &amp; Profitability Analysis</w:t>
      </w:r>
    </w:p>
    <w:p>
      <w:r>
        <w:rPr>
          <w:i w:val="0"/>
          <w:color w:val="475569"/>
          <w:sz w:val="19"/>
        </w:rPr>
        <w:t>Cost structure and gross profitability.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7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2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98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61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Cash Flow Analysis</w:t>
      </w:r>
    </w:p>
    <w:p>
      <w:r>
        <w:rPr>
          <w:i w:val="0"/>
          <w:color w:val="475569"/>
          <w:sz w:val="19"/>
        </w:rPr>
        <w:t>Cash generation, free cash flow and funding adequacy.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94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93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Balance Sheet Analysis</w:t>
      </w:r>
    </w:p>
    <w:p>
      <w:r>
        <w:rPr>
          <w:i w:val="0"/>
          <w:color w:val="475569"/>
          <w:sz w:val="19"/>
        </w:rPr>
        <w:t>Asset composition, capital structure and liquidity.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7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9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Working Capital Analysis</w:t>
      </w:r>
    </w:p>
    <w:p>
      <w:r>
        <w:rPr>
          <w:i w:val="0"/>
          <w:color w:val="475569"/>
          <w:sz w:val="19"/>
        </w:rPr>
        <w:t>Receivables, inventory, payables and the cash cycle.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61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17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61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8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10. Scenario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628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9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394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982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982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613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982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291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291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Scenario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84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Base Case</w:t>
            </w:r>
          </w:p>
        </w:tc>
        <w:tc>
          <w:tcPr>
            <w:tcW w:type="dxa" w:w="2484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Conservative Case</w:t>
            </w:r>
          </w:p>
        </w:tc>
        <w:tc>
          <w:tcPr>
            <w:tcW w:type="dxa" w:w="2484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Optimistic Case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20,627,338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15,676,777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26,557,697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EBITDA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(7,179,944)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(11,230,708)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(3,897,335)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Net profit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(7,795,590)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(11,869,039)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(4,501,724)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Closing cash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(8,069,249)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(12,086,768)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(4,867,378)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Total assets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(6,086,086)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(10,226,994)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(2,640,094)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Total borrowings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Total equity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(7,077,590)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(11,151,039)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(3,783,724)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EBITDA margin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(16.2%)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(49.4%)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0.3%</w:t>
            </w:r>
          </w:p>
        </w:tc>
      </w:tr>
      <w:tr>
        <w:tc>
          <w:tcPr>
            <w:tcW w:type="dxa" w:w="2484"/>
          </w:tcPr>
          <w:p>
            <w:r>
              <w:rPr>
                <w:b w:val="0"/>
                <w:sz w:val="18"/>
              </w:rPr>
              <w:t>Net profit margin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(17.3%)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(51.0%)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 w:val="0"/>
                <w:sz w:val="18"/>
              </w:rPr>
              <w:t>(0.6%)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11. Risks, Warnings and Reconciliations</w:t>
      </w:r>
    </w:p>
    <w:p>
      <w:pPr>
        <w:pStyle w:val="Heading3"/>
      </w:pPr>
      <w:r>
        <w:t>Reconciliation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b/>
                <w:sz w:val="18"/>
              </w:rPr>
              <w:t xml:space="preserve">[INFO] </w:t>
            </w:r>
            <w:r>
              <w:rPr>
                <w:sz w:val="18"/>
              </w:rPr>
              <w:t>Balance sheet balances (Assets = Equity + Liabilities): PASS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b/>
                <w:sz w:val="18"/>
              </w:rPr>
              <w:t xml:space="preserve">[INFO] </w:t>
            </w:r>
            <w:r>
              <w:rPr>
                <w:sz w:val="18"/>
              </w:rPr>
              <w:t>Cash flow reconciles to balance sheet cash: PASS</w:t>
            </w:r>
          </w:p>
        </w:tc>
      </w:tr>
    </w:tbl>
    <w:p>
      <w:pPr>
        <w:pStyle w:val="Heading3"/>
      </w:pPr>
      <w:r>
        <w:t>Warnings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>
              <w:rPr>
                <w:b/>
                <w:sz w:val="18"/>
              </w:rPr>
              <w:t xml:space="preserve">[WARNING] </w:t>
            </w:r>
            <w:r>
              <w:rPr>
                <w:sz w:val="18"/>
              </w:rPr>
              <w:t>One or more direct cost items are unassigned and excluded from cost of sales.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b/>
                <w:sz w:val="18"/>
              </w:rPr>
              <w:t xml:space="preserve">[INFO] </w:t>
            </w:r>
            <w:r>
              <w:rPr>
                <w:sz w:val="18"/>
              </w:rPr>
              <w:t>Grant 'Sustainability Innovation Support Grant' is scenario-dependent and recognised only in the optimistic case.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b/>
                <w:sz w:val="18"/>
              </w:rPr>
              <w:t xml:space="preserve">[INFO] </w:t>
            </w:r>
            <w:r>
              <w:rPr>
                <w:sz w:val="18"/>
              </w:rPr>
              <w:t>Sales commissions are recognised in cost of sales; excluded from staff costs to avoid double-counting.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E2E2"/>
          </w:tcPr>
          <w:p>
            <w:r>
              <w:rPr>
                <w:b/>
                <w:sz w:val="18"/>
              </w:rPr>
              <w:t xml:space="preserve">[CRITICAL] </w:t>
            </w:r>
            <w:r>
              <w:rPr>
                <w:sz w:val="18"/>
              </w:rPr>
              <w:t>Projected cash balance is negative — this indicates a funding gap.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E2E2"/>
          </w:tcPr>
          <w:p>
            <w:r>
              <w:rPr>
                <w:b/>
                <w:sz w:val="18"/>
              </w:rPr>
              <w:t xml:space="preserve">[CRITICAL] </w:t>
            </w:r>
            <w:r>
              <w:rPr>
                <w:sz w:val="18"/>
              </w:rPr>
              <w:t>Projected closing cash balance is negative.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b/>
                <w:sz w:val="18"/>
              </w:rPr>
              <w:t xml:space="preserve">[INFO] </w:t>
            </w:r>
            <w:r>
              <w:rPr>
                <w:sz w:val="18"/>
              </w:rPr>
              <w:t>Interest paid is presented under financing activities (default policy).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E2E2"/>
          </w:tcPr>
          <w:p>
            <w:r>
              <w:rPr>
                <w:b/>
                <w:sz w:val="18"/>
              </w:rPr>
              <w:t xml:space="preserve">[CRITICAL] </w:t>
            </w:r>
            <w:r>
              <w:rPr>
                <w:sz w:val="18"/>
              </w:rPr>
              <w:t>Projected cash balance is negative in one or more periods.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>
              <w:rPr>
                <w:b/>
                <w:sz w:val="18"/>
              </w:rPr>
              <w:t xml:space="preserve">[WARNING] </w:t>
            </w:r>
            <w:r>
              <w:rPr>
                <w:sz w:val="18"/>
              </w:rPr>
              <w:t>Projected EBITDA is negative over the projection.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3C7"/>
          </w:tcPr>
          <w:p>
            <w:r>
              <w:rPr>
                <w:b/>
                <w:sz w:val="18"/>
              </w:rPr>
              <w:t xml:space="preserve">[WARNING] </w:t>
            </w:r>
            <w:r>
              <w:rPr>
                <w:sz w:val="18"/>
              </w:rPr>
              <w:t>Current ratio is below 1.0 — short-term liquidity pressure.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color="2563EB" w:space="4"/>
        </w:pBdr>
      </w:pPr>
      <w:r>
        <w:t>12. Appendices</w:t>
      </w:r>
    </w:p>
    <w:p>
      <w:pPr>
        <w:pStyle w:val="Heading3"/>
      </w:pPr>
      <w:r>
        <w:t>Appendix A — Revenue by stream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Line item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1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2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3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4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Year 5</w:t>
            </w:r>
          </w:p>
        </w:tc>
        <w:tc>
          <w:tcPr>
            <w:tcW w:type="dxa" w:w="1419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Product revenue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1,709,471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2,414,202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3,255,824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4,411,301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6,007,050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17,797,848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Service revenue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277,580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360,412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467,961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607,604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788,917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2,502,473</w:t>
            </w:r>
          </w:p>
        </w:tc>
      </w:tr>
      <w:tr>
        <w:tc>
          <w:tcPr>
            <w:tcW w:type="dxa" w:w="1419"/>
          </w:tcPr>
          <w:p>
            <w:r>
              <w:rPr>
                <w:b w:val="0"/>
                <w:sz w:val="18"/>
              </w:rPr>
              <w:t xml:space="preserve">   Subscription revenue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31,456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53,801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65,058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79,295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97,406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 w:val="0"/>
                <w:sz w:val="18"/>
              </w:rPr>
              <w:t>327,017</w:t>
            </w:r>
          </w:p>
        </w:tc>
      </w:tr>
      <w:tr>
        <w:tc>
          <w:tcPr>
            <w:tcW w:type="dxa" w:w="1419"/>
            <w:shd w:val="clear" w:fill="F1F5F9"/>
          </w:tcPr>
          <w:p>
            <w:r>
              <w:rPr>
                <w:b/>
                <w:sz w:val="18"/>
              </w:rPr>
              <w:t>Total revenue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2,018,507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2,828,415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3,788,844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5,098,199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6,893,373</w:t>
            </w:r>
          </w:p>
        </w:tc>
        <w:tc>
          <w:tcPr>
            <w:tcW w:type="dxa" w:w="1419"/>
            <w:shd w:val="clear" w:fill="F1F5F9"/>
          </w:tcPr>
          <w:p>
            <w:pPr>
              <w:jc w:val="right"/>
            </w:pPr>
            <w:r>
              <w:rPr>
                <w:b/>
                <w:sz w:val="18"/>
              </w:rPr>
              <w:t>20,627,338</w:t>
            </w:r>
          </w:p>
        </w:tc>
      </w:tr>
    </w:tbl>
    <w:p>
      <w:pPr>
        <w:pStyle w:val="Heading3"/>
      </w:pPr>
      <w:r>
        <w:t>Appendix E — Fixed asset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Life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Residual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NBV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Assembly Tools and Workbench Equipment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Equipment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85,000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Delivery and Service Van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Vehicle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145,000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25,000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25,000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Office Furniture and Fit-out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Furniture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95,000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10,000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Computers and Devices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Computers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42,000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3,000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3,000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IoT Monitoring Platform Development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Software Development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125,000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–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Warehouse Shelving and Storage System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Leasehold Improvements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60,000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5,000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5,000</w:t>
            </w:r>
          </w:p>
        </w:tc>
      </w:tr>
    </w:tbl>
    <w:p>
      <w:pPr>
        <w:pStyle w:val="Heading3"/>
      </w:pPr>
      <w:r>
        <w:t>Appendix F — Loan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Loan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Lender</w:t>
            </w:r>
          </w:p>
        </w:tc>
        <w:tc>
          <w:tcPr>
            <w:tcW w:type="dxa" w:w="1656"/>
            <w:shd w:val="clear" w:fill="1E293B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1656"/>
            <w:shd w:val="clear" w:fill="1E293B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Repayment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Vehicle and Equipment Finance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Emirates Commercial Bank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250,000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8.5%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Equal Installments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18"/>
              </w:rPr>
              <w:t>Working Capital Facility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UAE SME Finance Partner</w:t>
            </w:r>
          </w:p>
        </w:tc>
        <w:tc>
          <w:tcPr>
            <w:tcW w:type="dxa" w:w="1656"/>
          </w:tcPr>
          <w:p>
            <w:pPr>
              <w:jc w:val="right"/>
            </w:pPr>
            <w:r>
              <w:rPr>
                <w:b w:val="0"/>
                <w:sz w:val="18"/>
              </w:rPr>
              <w:t>300,000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10.0%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656"/>
          </w:tcPr>
          <w:p>
            <w:r>
              <w:rPr>
                <w:b w:val="0"/>
                <w:sz w:val="18"/>
              </w:rPr>
              <w:t>Interest Only Then Principal</w:t>
            </w:r>
          </w:p>
        </w:tc>
      </w:tr>
    </w:tbl>
    <w:p>
      <w:pPr>
        <w:pStyle w:val="Heading3"/>
      </w:pPr>
      <w:r>
        <w:t>Appendix I — Reconciliation checks</w:t>
      </w:r>
    </w:p>
    <w:p>
      <w:r>
        <w:rPr>
          <w:i w:val="0"/>
          <w:sz w:val="18"/>
        </w:rPr>
        <w:t>• Balance sheet balances (Assets = Equity + Liabilities): PASS</w:t>
      </w:r>
    </w:p>
    <w:p>
      <w:r>
        <w:rPr>
          <w:i w:val="0"/>
          <w:sz w:val="18"/>
        </w:rPr>
        <w:t>• Cash flow reconciles to balance sheet cash: PASS</w:t>
      </w:r>
    </w:p>
    <w:sectPr w:rsidR="00FC693F" w:rsidRPr="0006063C" w:rsidSect="00034616">
      <w:pgSz w:w="12240" w:h="15840"/>
      <w:pgMar w:top="1296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Confidential Business Plan Report — Generated by Business Plan Studio   · 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75569"/>
        <w:sz w:val="16"/>
      </w:rPr>
      <w:t>AquaPure Smart Filters FZE  |  Business Plan Financial Projection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D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