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72"/>
        </w:rPr>
        <w:t>NanoBio Studio</w:t>
      </w:r>
    </w:p>
    <w:p>
      <w:pPr>
        <w:pStyle w:val="Heading2"/>
        <w:jc w:val="center"/>
      </w:pPr>
      <w:r>
        <w:rPr>
          <w:color w:val="0066CC"/>
          <w:sz w:val="40"/>
        </w:rPr>
        <w:t>Scientific Features &amp; Capabilities</w:t>
      </w:r>
    </w:p>
    <w:p/>
    <w:p>
      <w:pPr>
        <w:jc w:val="center"/>
      </w:pPr>
      <w:r>
        <w:t>Comprehensive Platform for Nanoparticle Design, Simulation, and Optimization</w:t>
        <w:br/>
        <w:br/>
        <w:t>Document Generated: March 27, 2026</w:t>
        <w:br/>
        <w:t>Version: 1.0</w:t>
        <w:br/>
        <w:t>Technology: Python + Streamlit + AI/ML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Nanoparticle Design Parameters</w:t>
      </w:r>
    </w:p>
    <w:p>
      <w:pPr>
        <w:pStyle w:val="ListBullet"/>
      </w:pPr>
      <w:r>
        <w:t>3. Physicochemical Properties</w:t>
      </w:r>
    </w:p>
    <w:p>
      <w:pPr>
        <w:pStyle w:val="ListBullet"/>
      </w:pPr>
      <w:r>
        <w:t>4. Pharmacokinetic &amp; Biological Parameters</w:t>
      </w:r>
    </w:p>
    <w:p>
      <w:pPr>
        <w:pStyle w:val="ListBullet"/>
      </w:pPr>
      <w:r>
        <w:t>5. Safety &amp; Toxicity Assessment</w:t>
      </w:r>
    </w:p>
    <w:p>
      <w:pPr>
        <w:pStyle w:val="ListBullet"/>
      </w:pPr>
      <w:r>
        <w:t>6. AI-Powered Optimization Engine</w:t>
      </w:r>
    </w:p>
    <w:p>
      <w:pPr>
        <w:pStyle w:val="ListBullet"/>
      </w:pPr>
      <w:r>
        <w:t>7. Machine Learning Capabilities</w:t>
      </w:r>
    </w:p>
    <w:p>
      <w:pPr>
        <w:pStyle w:val="ListBullet"/>
      </w:pPr>
      <w:r>
        <w:t>8. Disease &amp; Target Coverage</w:t>
      </w:r>
    </w:p>
    <w:p>
      <w:pPr>
        <w:pStyle w:val="ListBullet"/>
      </w:pPr>
      <w:r>
        <w:t>9. External Data Integration</w:t>
      </w:r>
    </w:p>
    <w:p>
      <w:pPr>
        <w:pStyle w:val="ListBullet"/>
      </w:pPr>
      <w:r>
        <w:t>10. Advanced Analysis &amp; Visualization Tools</w:t>
      </w:r>
    </w:p>
    <w:p>
      <w:pPr>
        <w:pStyle w:val="ListBullet"/>
      </w:pPr>
      <w:r>
        <w:t>11. Reporting &amp; Compliance Features</w:t>
      </w:r>
    </w:p>
    <w:p>
      <w:pPr>
        <w:pStyle w:val="ListBullet"/>
      </w:pPr>
      <w:r>
        <w:t>12. Educational &amp; Research Capabilities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NanoBio Studio is a comprehensive computational platform designed for the design, optimization, and analysis of nanoparticulate drug delivery systems. The application integrates sophisticated scientific algorithms, multi-objective optimization, and machine learning to accelerate the development of safe and effective nanotherapeutics.</w:t>
      </w:r>
    </w:p>
    <w:p>
      <w:pPr>
        <w:pStyle w:val="Heading2"/>
      </w:pPr>
      <w:r>
        <w:t>Platform Highlights</w:t>
      </w:r>
    </w:p>
    <w:p>
      <w:pPr>
        <w:pStyle w:val="ListBullet"/>
      </w:pPr>
      <w:r>
        <w:t>Multi-objective optimization for balancing efficacy, safety, and cost</w:t>
      </w:r>
    </w:p>
    <w:p>
      <w:pPr>
        <w:pStyle w:val="ListBullet"/>
      </w:pPr>
      <w:r>
        <w:t>15+ core design parameters with scientific validation</w:t>
      </w:r>
    </w:p>
    <w:p>
      <w:pPr>
        <w:pStyle w:val="ListBullet"/>
      </w:pPr>
      <w:r>
        <w:t>Advanced pharmacokinetic/pharmacodynamic (PK/PD) simulation models</w:t>
      </w:r>
    </w:p>
    <w:p>
      <w:pPr>
        <w:pStyle w:val="ListBullet"/>
      </w:pPr>
      <w:r>
        <w:t>Integrated toxicity assessment across multiple biological domains</w:t>
      </w:r>
    </w:p>
    <w:p>
      <w:pPr>
        <w:pStyle w:val="ListBullet"/>
      </w:pPr>
      <w:r>
        <w:t>AI-driven design recommendations with explainability analysis</w:t>
      </w:r>
    </w:p>
    <w:p>
      <w:pPr>
        <w:pStyle w:val="ListBullet"/>
      </w:pPr>
      <w:r>
        <w:t>Integration with 6+ external scientific databases (ToxCast, FDA FAERS, GEO, ChemSpider, PDB)</w:t>
      </w:r>
    </w:p>
    <w:p>
      <w:pPr>
        <w:pStyle w:val="ListBullet"/>
      </w:pPr>
      <w:r>
        <w:t>Machine learning model training and deployment capabilities</w:t>
      </w:r>
    </w:p>
    <w:p>
      <w:pPr>
        <w:pStyle w:val="ListBullet"/>
      </w:pPr>
      <w:r>
        <w:t>Comprehensive reporting for regulatory and publication purposes</w:t>
      </w:r>
    </w:p>
    <w:p>
      <w:pPr>
        <w:pStyle w:val="ListBullet"/>
      </w:pPr>
      <w:r>
        <w:t>Real-time 3D nanoparticle visualization</w:t>
      </w:r>
    </w:p>
    <w:p>
      <w:pPr>
        <w:pStyle w:val="ListBullet"/>
      </w:pPr>
      <w:r>
        <w:t>Session-based user management with role-based access control</w:t>
      </w:r>
    </w:p>
    <w:p>
      <w:r>
        <w:br w:type="page"/>
      </w:r>
    </w:p>
    <w:p>
      <w:pPr>
        <w:pStyle w:val="Heading1"/>
      </w:pPr>
      <w:r>
        <w:t>2. Nanoparticle Design Parameters</w:t>
      </w:r>
    </w:p>
    <w:p>
      <w:r>
        <w:t>NanoBio Studio tracks and optimizes 12 core design parameters that define the physical and chemical properties of nanoparticles. These parameters are grounded in peer-reviewed literature and validated against experimental data.</w:t>
      </w:r>
    </w:p>
    <w:p>
      <w:pPr>
        <w:pStyle w:val="Heading2"/>
      </w:pPr>
      <w:r>
        <w:t>2.1 Core Design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Significance</w:t>
            </w:r>
          </w:p>
        </w:tc>
      </w:tr>
      <w:tr>
        <w:tc>
          <w:tcPr>
            <w:tcW w:type="dxa" w:w="2160"/>
          </w:tcPr>
          <w:p>
            <w:r>
              <w:t>Particle Size</w:t>
            </w:r>
          </w:p>
        </w:tc>
        <w:tc>
          <w:tcPr>
            <w:tcW w:type="dxa" w:w="2160"/>
          </w:tcPr>
          <w:p>
            <w:r>
              <w:t>50-200</w:t>
            </w:r>
          </w:p>
        </w:tc>
        <w:tc>
          <w:tcPr>
            <w:tcW w:type="dxa" w:w="2160"/>
          </w:tcPr>
          <w:p>
            <w:r>
              <w:t>nm</w:t>
            </w:r>
          </w:p>
        </w:tc>
        <w:tc>
          <w:tcPr>
            <w:tcW w:type="dxa" w:w="2160"/>
          </w:tcPr>
          <w:p>
            <w:r>
              <w:t>Controls cellular uptake, biodistribution, and clearance mechanisms</w:t>
            </w:r>
          </w:p>
        </w:tc>
      </w:tr>
      <w:tr>
        <w:tc>
          <w:tcPr>
            <w:tcW w:type="dxa" w:w="2160"/>
          </w:tcPr>
          <w:p>
            <w:r>
              <w:t>Charge (Zeta Potential)</w:t>
            </w:r>
          </w:p>
        </w:tc>
        <w:tc>
          <w:tcPr>
            <w:tcW w:type="dxa" w:w="2160"/>
          </w:tcPr>
          <w:p>
            <w:r>
              <w:t>-50 to +50</w:t>
            </w:r>
          </w:p>
        </w:tc>
        <w:tc>
          <w:tcPr>
            <w:tcW w:type="dxa" w:w="2160"/>
          </w:tcPr>
          <w:p>
            <w:r>
              <w:t>mV</w:t>
            </w:r>
          </w:p>
        </w:tc>
        <w:tc>
          <w:tcPr>
            <w:tcW w:type="dxa" w:w="2160"/>
          </w:tcPr>
          <w:p>
            <w:r>
              <w:t>Determines electrostatic stability and cellular internalization</w:t>
            </w:r>
          </w:p>
        </w:tc>
      </w:tr>
      <w:tr>
        <w:tc>
          <w:tcPr>
            <w:tcW w:type="dxa" w:w="2160"/>
          </w:tcPr>
          <w:p>
            <w:r>
              <w:t>PEG Density</w:t>
            </w:r>
          </w:p>
        </w:tc>
        <w:tc>
          <w:tcPr>
            <w:tcW w:type="dxa" w:w="2160"/>
          </w:tcPr>
          <w:p>
            <w:r>
              <w:t>0-100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Stealth coating for extended blood circulation time</w:t>
            </w:r>
          </w:p>
        </w:tc>
      </w:tr>
      <w:tr>
        <w:tc>
          <w:tcPr>
            <w:tcW w:type="dxa" w:w="2160"/>
          </w:tcPr>
          <w:p>
            <w:r>
              <w:t>Coating Thickness</w:t>
            </w:r>
          </w:p>
        </w:tc>
        <w:tc>
          <w:tcPr>
            <w:tcW w:type="dxa" w:w="2160"/>
          </w:tcPr>
          <w:p>
            <w:r>
              <w:t>0-20</w:t>
            </w:r>
          </w:p>
        </w:tc>
        <w:tc>
          <w:tcPr>
            <w:tcW w:type="dxa" w:w="2160"/>
          </w:tcPr>
          <w:p>
            <w:r>
              <w:t>nm</w:t>
            </w:r>
          </w:p>
        </w:tc>
        <w:tc>
          <w:tcPr>
            <w:tcW w:type="dxa" w:w="2160"/>
          </w:tcPr>
          <w:p>
            <w:r>
              <w:t>Protective layer preventing opsonization and immune activation</w:t>
            </w:r>
          </w:p>
        </w:tc>
      </w:tr>
      <w:tr>
        <w:tc>
          <w:tcPr>
            <w:tcW w:type="dxa" w:w="2160"/>
          </w:tcPr>
          <w:p>
            <w:r>
              <w:t>Encapsulation Efficiency</w:t>
            </w:r>
          </w:p>
        </w:tc>
        <w:tc>
          <w:tcPr>
            <w:tcW w:type="dxa" w:w="2160"/>
          </w:tcPr>
          <w:p>
            <w:r>
              <w:t>50-100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Drug loading capacity and formulation quality</w:t>
            </w:r>
          </w:p>
        </w:tc>
      </w:tr>
      <w:tr>
        <w:tc>
          <w:tcPr>
            <w:tcW w:type="dxa" w:w="2160"/>
          </w:tcPr>
          <w:p>
            <w:r>
              <w:t>Polydispersity Index (PDI)</w:t>
            </w:r>
          </w:p>
        </w:tc>
        <w:tc>
          <w:tcPr>
            <w:tcW w:type="dxa" w:w="2160"/>
          </w:tcPr>
          <w:p>
            <w:r>
              <w:t>0.1-0.5</w:t>
            </w:r>
          </w:p>
        </w:tc>
        <w:tc>
          <w:tcPr>
            <w:tcW w:type="dxa" w:w="2160"/>
          </w:tcPr>
          <w:p>
            <w:r>
              <w:t>dimensionless</w:t>
            </w:r>
          </w:p>
        </w:tc>
        <w:tc>
          <w:tcPr>
            <w:tcW w:type="dxa" w:w="2160"/>
          </w:tcPr>
          <w:p>
            <w:r>
              <w:t>Particle size distribution uniformity</w:t>
            </w:r>
          </w:p>
        </w:tc>
      </w:tr>
      <w:tr>
        <w:tc>
          <w:tcPr>
            <w:tcW w:type="dxa" w:w="2160"/>
          </w:tcPr>
          <w:p>
            <w:r>
              <w:t>Surface Area</w:t>
            </w:r>
          </w:p>
        </w:tc>
        <w:tc>
          <w:tcPr>
            <w:tcW w:type="dxa" w:w="2160"/>
          </w:tcPr>
          <w:p>
            <w:r>
              <w:t>500-5000</w:t>
            </w:r>
          </w:p>
        </w:tc>
        <w:tc>
          <w:tcPr>
            <w:tcW w:type="dxa" w:w="2160"/>
          </w:tcPr>
          <w:p>
            <w:r>
              <w:t>nm²</w:t>
            </w:r>
          </w:p>
        </w:tc>
        <w:tc>
          <w:tcPr>
            <w:tcW w:type="dxa" w:w="2160"/>
          </w:tcPr>
          <w:p>
            <w:r>
              <w:t>Available surface for molecular interactions</w:t>
            </w:r>
          </w:p>
        </w:tc>
      </w:tr>
      <w:tr>
        <w:tc>
          <w:tcPr>
            <w:tcW w:type="dxa" w:w="2160"/>
          </w:tcPr>
          <w:p>
            <w:r>
              <w:t>Drug Loading</w:t>
            </w:r>
          </w:p>
        </w:tc>
        <w:tc>
          <w:tcPr>
            <w:tcW w:type="dxa" w:w="2160"/>
          </w:tcPr>
          <w:p>
            <w:r>
              <w:t>0-100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Actual amount of therapeutic payload</w:t>
            </w:r>
          </w:p>
        </w:tc>
      </w:tr>
      <w:tr>
        <w:tc>
          <w:tcPr>
            <w:tcW w:type="dxa" w:w="2160"/>
          </w:tcPr>
          <w:p>
            <w:r>
              <w:t>Stability Score</w:t>
            </w:r>
          </w:p>
        </w:tc>
        <w:tc>
          <w:tcPr>
            <w:tcW w:type="dxa" w:w="2160"/>
          </w:tcPr>
          <w:p>
            <w:r>
              <w:t>0-100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Overall formulation and colloidal stability</w:t>
            </w:r>
          </w:p>
        </w:tc>
      </w:tr>
      <w:tr>
        <w:tc>
          <w:tcPr>
            <w:tcW w:type="dxa" w:w="2160"/>
          </w:tcPr>
          <w:p>
            <w:r>
              <w:t>Biodegradation Time</w:t>
            </w:r>
          </w:p>
        </w:tc>
        <w:tc>
          <w:tcPr>
            <w:tcW w:type="dxa" w:w="2160"/>
          </w:tcPr>
          <w:p>
            <w:r>
              <w:t>7-365</w:t>
            </w:r>
          </w:p>
        </w:tc>
        <w:tc>
          <w:tcPr>
            <w:tcW w:type="dxa" w:w="2160"/>
          </w:tcPr>
          <w:p>
            <w:r>
              <w:t>days</w:t>
            </w:r>
          </w:p>
        </w:tc>
        <w:tc>
          <w:tcPr>
            <w:tcW w:type="dxa" w:w="2160"/>
          </w:tcPr>
          <w:p>
            <w:r>
              <w:t>Clearance and in vivo persistence</w:t>
            </w:r>
          </w:p>
        </w:tc>
      </w:tr>
      <w:tr>
        <w:tc>
          <w:tcPr>
            <w:tcW w:type="dxa" w:w="2160"/>
          </w:tcPr>
          <w:p>
            <w:r>
              <w:t>Targeting Strength</w:t>
            </w:r>
          </w:p>
        </w:tc>
        <w:tc>
          <w:tcPr>
            <w:tcW w:type="dxa" w:w="2160"/>
          </w:tcPr>
          <w:p>
            <w:r>
              <w:t>0-100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Active targeting ligand effectiveness</w:t>
            </w:r>
          </w:p>
        </w:tc>
      </w:tr>
      <w:tr>
        <w:tc>
          <w:tcPr>
            <w:tcW w:type="dxa" w:w="2160"/>
          </w:tcPr>
          <w:p>
            <w:r>
              <w:t>Hydrophobicity (LogP)</w:t>
            </w:r>
          </w:p>
        </w:tc>
        <w:tc>
          <w:tcPr>
            <w:tcW w:type="dxa" w:w="2160"/>
          </w:tcPr>
          <w:p>
            <w:r>
              <w:t>0.5-2.5</w:t>
            </w:r>
          </w:p>
        </w:tc>
        <w:tc>
          <w:tcPr>
            <w:tcW w:type="dxa" w:w="2160"/>
          </w:tcPr>
          <w:p>
            <w:r>
              <w:t>LogP</w:t>
            </w:r>
          </w:p>
        </w:tc>
        <w:tc>
          <w:tcPr>
            <w:tcW w:type="dxa" w:w="2160"/>
          </w:tcPr>
          <w:p>
            <w:r>
              <w:t>Lipophilicity affecting membrane interactions</w:t>
            </w:r>
          </w:p>
        </w:tc>
      </w:tr>
    </w:tbl>
    <w:p>
      <w:r>
        <w:br w:type="page"/>
      </w:r>
    </w:p>
    <w:p>
      <w:pPr>
        <w:pStyle w:val="Heading1"/>
      </w:pPr>
      <w:r>
        <w:t>3. Physicochemical Properties</w:t>
      </w:r>
    </w:p>
    <w:p>
      <w:r>
        <w:t>Advanced physicochemical characterization enables predictive modeling of nanoparticle behavior in biological systems.</w:t>
      </w:r>
    </w:p>
    <w:p>
      <w:pPr>
        <w:pStyle w:val="Heading2"/>
      </w:pPr>
      <w:r>
        <w:t>3.1 Critical Physicochemical Parameters</w:t>
      </w:r>
    </w:p>
    <w:p>
      <w:pPr>
        <w:pStyle w:val="Heading3"/>
      </w:pPr>
      <w:r>
        <w:t>• Osmolarity/Osmolality</w:t>
      </w:r>
    </w:p>
    <w:p>
      <w:r>
        <w:t>Range: 200-500 mOsm/kg</w:t>
      </w:r>
    </w:p>
    <w:p>
      <w:r>
        <w:t>Optimal: 270-310 mOsm/kg (physiological)</w:t>
      </w:r>
    </w:p>
    <w:p>
      <w:r>
        <w:t>Description: Controls colloidal stability, cell lysis risk, and tonicity effects. Critical for in vitro and in vivo performance.</w:t>
      </w:r>
    </w:p>
    <w:p>
      <w:pPr>
        <w:pStyle w:val="Heading3"/>
      </w:pPr>
      <w:r>
        <w:t>• pH Stability Profile</w:t>
      </w:r>
    </w:p>
    <w:p>
      <w:r>
        <w:t>Range: pH 2.0-8.0</w:t>
      </w:r>
    </w:p>
    <w:p>
      <w:r>
        <w:t>Critical Points: Gastric (2.0), Physiological (7.4), Lysosomal (4.5)</w:t>
      </w:r>
    </w:p>
    <w:p>
      <w:r>
        <w:t>Description: Dynamic pH-dependent stability mapping for GI tract, bloodstream, and intracellular compartments.</w:t>
      </w:r>
    </w:p>
    <w:p>
      <w:pPr>
        <w:pStyle w:val="Heading3"/>
      </w:pPr>
      <w:r>
        <w:t>• Protein Corona Composition</w:t>
      </w:r>
    </w:p>
    <w:p>
      <w:r>
        <w:t>Components: Albumin, IgG, Complement factors C3/C4</w:t>
      </w:r>
    </w:p>
    <w:p>
      <w:r>
        <w:t>Measurement: Hard and soft corona thickness</w:t>
      </w:r>
    </w:p>
    <w:p>
      <w:r>
        <w:t>Description: Formation of protein layer on NP surface affecting biodistribution and immune recognition.</w:t>
      </w:r>
    </w:p>
    <w:p>
      <w:pPr>
        <w:pStyle w:val="Heading3"/>
      </w:pPr>
      <w:r>
        <w:t>• Plasma Protein Binding</w:t>
      </w:r>
    </w:p>
    <w:p>
      <w:r>
        <w:t>Range: 0-100%</w:t>
      </w:r>
    </w:p>
    <w:p>
      <w:r>
        <w:t>Key Proteins: Albumin, lipoproteins, fibrinogen</w:t>
      </w:r>
    </w:p>
    <w:p>
      <w:r>
        <w:t>Description: Determines free vs bound drug fraction affecting bioavailability and clearance.</w:t>
      </w:r>
    </w:p>
    <w:p>
      <w:pPr>
        <w:pStyle w:val="Heading3"/>
      </w:pPr>
      <w:r>
        <w:t>• Hemolytic Activity</w:t>
      </w:r>
    </w:p>
    <w:p>
      <w:r>
        <w:t>Assay: RBC lysis threshold</w:t>
      </w:r>
    </w:p>
    <w:p>
      <w:r>
        <w:t>Safety Threshold: &lt;5% hemolysis</w:t>
      </w:r>
    </w:p>
    <w:p>
      <w:r>
        <w:t>Description: Direct measure of blood compatibility and acute toxicity.</w:t>
      </w:r>
    </w:p>
    <w:p>
      <w:pPr>
        <w:pStyle w:val="Heading3"/>
      </w:pPr>
      <w:r>
        <w:t>• Isoelectric Point (pI)</w:t>
      </w:r>
    </w:p>
    <w:p>
      <w:r>
        <w:t>Range: pH 3-9</w:t>
      </w:r>
    </w:p>
    <w:p>
      <w:r>
        <w:t>Method: Calculated from surface charge distribution</w:t>
      </w:r>
    </w:p>
    <w:p>
      <w:r>
        <w:t>Description: Predicts aggregation behavior near physiological pH.</w:t>
      </w:r>
    </w:p>
    <w:p>
      <w:pPr>
        <w:pStyle w:val="Heading3"/>
      </w:pPr>
      <w:r>
        <w:t>• Glass Transition Temperature (Tg)</w:t>
      </w:r>
    </w:p>
    <w:p>
      <w:r>
        <w:t>PLGA: 50-70°C</w:t>
      </w:r>
    </w:p>
    <w:p>
      <w:r>
        <w:t>Application: Storage stability predictions</w:t>
      </w:r>
    </w:p>
    <w:p>
      <w:r>
        <w:t>Description: Temperature-dependent polymer structural transitions affecting long-term stability.</w:t>
      </w:r>
    </w:p>
    <w:p>
      <w:pPr>
        <w:pStyle w:val="Heading3"/>
      </w:pPr>
      <w:r>
        <w:t>• Interfacial Tension</w:t>
      </w:r>
    </w:p>
    <w:p>
      <w:r>
        <w:t>Range: 0-50</w:t>
      </w:r>
    </w:p>
    <w:p>
      <w:r>
        <w:t>Unit: mN/m</w:t>
      </w:r>
    </w:p>
    <w:p>
      <w:r>
        <w:t>Description: Drives lipid assembly and particle aggregation kinetics.</w:t>
      </w:r>
    </w:p>
    <w:p>
      <w:r>
        <w:br w:type="page"/>
      </w:r>
    </w:p>
    <w:p>
      <w:pPr>
        <w:pStyle w:val="Heading1"/>
      </w:pPr>
      <w:r>
        <w:t>4. Pharmacokinetic &amp; Biological Parameters</w:t>
      </w:r>
    </w:p>
    <w:p>
      <w:pPr>
        <w:pStyle w:val="Heading2"/>
      </w:pPr>
      <w:r>
        <w:t>4.1 Two-Compartment PK/PD Model</w:t>
      </w:r>
    </w:p>
    <w:p>
      <w:r>
        <w:t>NanoBio Studio implements a comprehensive two-compartment pharmacokinetic model that simulates nanoparticle behavior in the body:</w:t>
      </w:r>
    </w:p>
    <w:p>
      <w:pPr>
        <w:pStyle w:val="ListBullet"/>
      </w:pPr>
      <w:r>
        <w:t>Central compartment: Initial distribution to highly perfused organs (blood, lungs, heart)</w:t>
      </w:r>
    </w:p>
    <w:p>
      <w:pPr>
        <w:pStyle w:val="ListBullet"/>
      </w:pPr>
      <w:r>
        <w:t>Peripheral compartment: Slower equilibration with tissues (liver, spleen, kidneys)</w:t>
      </w:r>
    </w:p>
    <w:p>
      <w:pPr>
        <w:pStyle w:val="ListBullet"/>
      </w:pPr>
      <w:r>
        <w:t>First-pass hepatic metabolism modeling</w:t>
      </w:r>
    </w:p>
    <w:p>
      <w:pPr>
        <w:pStyle w:val="ListBullet"/>
      </w:pPr>
      <w:r>
        <w:t>Renal clearance based on particle size (&lt;5.5 nm easily filtered)</w:t>
      </w:r>
    </w:p>
    <w:p>
      <w:pPr>
        <w:pStyle w:val="ListBullet"/>
      </w:pPr>
      <w:r>
        <w:t>Reticuloendothelial system (RES) uptake kinetics (size and charge dependent)</w:t>
      </w:r>
    </w:p>
    <w:p>
      <w:pPr>
        <w:pStyle w:val="ListBullet"/>
      </w:pPr>
      <w:r>
        <w:t>PEG-mediated extended circulation (stealth effect modeling)</w:t>
      </w:r>
    </w:p>
    <w:p>
      <w:pPr>
        <w:pStyle w:val="ListBullet"/>
      </w:pPr>
      <w:r>
        <w:t>Distribution to target tissues (tumors, inflammation sites)</w:t>
      </w:r>
    </w:p>
    <w:p>
      <w:pPr>
        <w:pStyle w:val="ListBullet"/>
      </w:pPr>
      <w:r>
        <w:t>Elimination rate constant (ke) calculation</w:t>
      </w:r>
    </w:p>
    <w:p>
      <w:pPr>
        <w:pStyle w:val="ListBullet"/>
      </w:pPr>
      <w:r>
        <w:t>Bioavailability prediction</w:t>
      </w:r>
    </w:p>
    <w:p>
      <w:pPr>
        <w:pStyle w:val="Heading2"/>
      </w:pPr>
      <w:r>
        <w:t>4.2 Blood Clearance Mechanisms</w:t>
      </w:r>
    </w:p>
    <w:p>
      <w:r>
        <w:t>The platform models multiple clearance pathways: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Clearance Mechanism</w:t>
            </w:r>
          </w:p>
        </w:tc>
        <w:tc>
          <w:tcPr>
            <w:tcW w:type="dxa" w:w="2880"/>
          </w:tcPr>
          <w:p>
            <w:r>
              <w:t>Size Dependency</w:t>
            </w:r>
          </w:p>
        </w:tc>
        <w:tc>
          <w:tcPr>
            <w:tcW w:type="dxa" w:w="2880"/>
          </w:tcPr>
          <w:p>
            <w:r>
              <w:t>Biological Significance</w:t>
            </w:r>
          </w:p>
        </w:tc>
      </w:tr>
      <w:tr>
        <w:tc>
          <w:tcPr>
            <w:tcW w:type="dxa" w:w="2880"/>
          </w:tcPr>
          <w:p>
            <w:r>
              <w:t>Renal Filtration</w:t>
            </w:r>
          </w:p>
        </w:tc>
        <w:tc>
          <w:tcPr>
            <w:tcW w:type="dxa" w:w="2880"/>
          </w:tcPr>
          <w:p>
            <w:r>
              <w:t>&lt;5.5 nm filtered directly</w:t>
            </w:r>
          </w:p>
        </w:tc>
        <w:tc>
          <w:tcPr>
            <w:tcW w:type="dxa" w:w="2880"/>
          </w:tcPr>
          <w:p>
            <w:r>
              <w:t>Rapid elimination, suitable for imaging agents</w:t>
            </w:r>
          </w:p>
        </w:tc>
      </w:tr>
      <w:tr>
        <w:tc>
          <w:tcPr>
            <w:tcW w:type="dxa" w:w="2880"/>
          </w:tcPr>
          <w:p>
            <w:r>
              <w:t>RES Uptake (Liver/Spleen)</w:t>
            </w:r>
          </w:p>
        </w:tc>
        <w:tc>
          <w:tcPr>
            <w:tcW w:type="dxa" w:w="2880"/>
          </w:tcPr>
          <w:p>
            <w:r>
              <w:t>Size &gt;50 nm preferentially</w:t>
            </w:r>
          </w:p>
        </w:tc>
        <w:tc>
          <w:tcPr>
            <w:tcW w:type="dxa" w:w="2880"/>
          </w:tcPr>
          <w:p>
            <w:r>
              <w:t>Major clearance route, can be exploited for targeting</w:t>
            </w:r>
          </w:p>
        </w:tc>
      </w:tr>
      <w:tr>
        <w:tc>
          <w:tcPr>
            <w:tcW w:type="dxa" w:w="2880"/>
          </w:tcPr>
          <w:p>
            <w:r>
              <w:t>Lymphatic Drainage</w:t>
            </w:r>
          </w:p>
        </w:tc>
        <w:tc>
          <w:tcPr>
            <w:tcW w:type="dxa" w:w="2880"/>
          </w:tcPr>
          <w:p>
            <w:r>
              <w:t>Size 10-100 nm optimal</w:t>
            </w:r>
          </w:p>
        </w:tc>
        <w:tc>
          <w:tcPr>
            <w:tcW w:type="dxa" w:w="2880"/>
          </w:tcPr>
          <w:p>
            <w:r>
              <w:t>Alternative drainage pathway, affects biodistribution</w:t>
            </w:r>
          </w:p>
        </w:tc>
      </w:tr>
      <w:tr>
        <w:tc>
          <w:tcPr>
            <w:tcW w:type="dxa" w:w="2880"/>
          </w:tcPr>
          <w:p>
            <w:r>
              <w:t>Hepatic Metabolism</w:t>
            </w:r>
          </w:p>
        </w:tc>
        <w:tc>
          <w:tcPr>
            <w:tcW w:type="dxa" w:w="2880"/>
          </w:tcPr>
          <w:p>
            <w:r>
              <w:t>Enzyme-dependent</w:t>
            </w:r>
          </w:p>
        </w:tc>
        <w:tc>
          <w:tcPr>
            <w:tcW w:type="dxa" w:w="2880"/>
          </w:tcPr>
          <w:p>
            <w:r>
              <w:t>Depends on nanoparticle composition</w:t>
            </w:r>
          </w:p>
        </w:tc>
      </w:tr>
      <w:tr>
        <w:tc>
          <w:tcPr>
            <w:tcW w:type="dxa" w:w="2880"/>
          </w:tcPr>
          <w:p>
            <w:r>
              <w:t>MPS Saturation</w:t>
            </w:r>
          </w:p>
        </w:tc>
        <w:tc>
          <w:tcPr>
            <w:tcW w:type="dxa" w:w="2880"/>
          </w:tcPr>
          <w:p>
            <w:r>
              <w:t>Variable with dosing</w:t>
            </w:r>
          </w:p>
        </w:tc>
        <w:tc>
          <w:tcPr>
            <w:tcW w:type="dxa" w:w="2880"/>
          </w:tcPr>
          <w:p>
            <w:r>
              <w:t>Can be saturated at high doses</w:t>
            </w:r>
          </w:p>
        </w:tc>
      </w:tr>
      <w:tr>
        <w:tc>
          <w:tcPr>
            <w:tcW w:type="dxa" w:w="2880"/>
          </w:tcPr>
          <w:p>
            <w:r>
              <w:t>Opsonization-Mediated</w:t>
            </w:r>
          </w:p>
        </w:tc>
        <w:tc>
          <w:tcPr>
            <w:tcW w:type="dxa" w:w="2880"/>
          </w:tcPr>
          <w:p>
            <w:r>
              <w:t>Protein corona formation</w:t>
            </w:r>
          </w:p>
        </w:tc>
        <w:tc>
          <w:tcPr>
            <w:tcW w:type="dxa" w:w="2880"/>
          </w:tcPr>
          <w:p>
            <w:r>
              <w:t>Immune recognition and rapid clearance</w:t>
            </w:r>
          </w:p>
        </w:tc>
      </w:tr>
    </w:tbl>
    <w:p>
      <w:pPr>
        <w:pStyle w:val="Heading2"/>
      </w:pPr>
      <w:r>
        <w:t>4.3 Cellular Uptake Mechanisms</w:t>
      </w:r>
    </w:p>
    <w:p>
      <w:r>
        <w:t>Multiple endocytic pathways are modeled:</w:t>
      </w:r>
    </w:p>
    <w:p>
      <w:pPr>
        <w:pStyle w:val="ListBullet"/>
      </w:pPr>
      <w:r>
        <w:t>Clathrin-mediated endocytosis: Primary route for 50-200 nm NPs; receptor-mediated</w:t>
      </w:r>
    </w:p>
    <w:p>
      <w:pPr>
        <w:pStyle w:val="ListBullet"/>
      </w:pPr>
      <w:r>
        <w:t>Caveolin-mediated endocytosis: Lipid raft-dependent; often avoids lysosomes</w:t>
      </w:r>
    </w:p>
    <w:p>
      <w:pPr>
        <w:pStyle w:val="ListBullet"/>
      </w:pPr>
      <w:r>
        <w:t>Macropinocytosis: Fluid-phase uptake; common for phagocytes</w:t>
      </w:r>
    </w:p>
    <w:p>
      <w:pPr>
        <w:pStyle w:val="ListBullet"/>
      </w:pPr>
      <w:r>
        <w:t>Phagocytosis: Professional phagocytes; size-dependent (&gt;500 nm preferred)</w:t>
      </w:r>
    </w:p>
    <w:p>
      <w:pPr>
        <w:pStyle w:val="ListBullet"/>
      </w:pPr>
      <w:r>
        <w:t>Transcytosis: Crossing blood-brain barrier for neurological diseases</w:t>
      </w:r>
    </w:p>
    <w:p>
      <w:r>
        <w:br w:type="page"/>
      </w:r>
    </w:p>
    <w:p>
      <w:pPr>
        <w:pStyle w:val="Heading1"/>
      </w:pPr>
      <w:r>
        <w:t>5. Safety &amp; Toxicity Assessment</w:t>
      </w:r>
    </w:p>
    <w:p>
      <w:r>
        <w:t>NanoBio Studio employs a comprehensive multi-dimensional toxicity assessment framework covering acute, subacute, and chronic safety profiles.</w:t>
      </w:r>
    </w:p>
    <w:p>
      <w:pPr>
        <w:pStyle w:val="Heading2"/>
      </w:pPr>
      <w:r>
        <w:t>5.1 Seven-Factor Toxicity Scoring System</w:t>
      </w:r>
    </w:p>
    <w:p>
      <w:r>
        <w:t>The platform integrates multiple toxicity assessment domains: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Toxicity Domain</w:t>
            </w:r>
          </w:p>
        </w:tc>
        <w:tc>
          <w:tcPr>
            <w:tcW w:type="dxa" w:w="2880"/>
          </w:tcPr>
          <w:p>
            <w:r>
              <w:t>Assessment Parameters</w:t>
            </w:r>
          </w:p>
        </w:tc>
        <w:tc>
          <w:tcPr>
            <w:tcW w:type="dxa" w:w="2880"/>
          </w:tcPr>
          <w:p>
            <w:r>
              <w:t>Safety Metric</w:t>
            </w:r>
          </w:p>
        </w:tc>
      </w:tr>
      <w:tr>
        <w:tc>
          <w:tcPr>
            <w:tcW w:type="dxa" w:w="2880"/>
          </w:tcPr>
          <w:p>
            <w:r>
              <w:t>Cellular Toxicity</w:t>
            </w:r>
          </w:p>
        </w:tc>
        <w:tc>
          <w:tcPr>
            <w:tcW w:type="dxa" w:w="2880"/>
          </w:tcPr>
          <w:p>
            <w:r>
              <w:t>Mitochondrial membrane potential, apoptosis markers, ROS production</w:t>
            </w:r>
          </w:p>
        </w:tc>
        <w:tc>
          <w:tcPr>
            <w:tcW w:type="dxa" w:w="2880"/>
          </w:tcPr>
          <w:p>
            <w:r>
              <w:t>IC50 estimation</w:t>
            </w:r>
          </w:p>
        </w:tc>
      </w:tr>
      <w:tr>
        <w:tc>
          <w:tcPr>
            <w:tcW w:type="dxa" w:w="2880"/>
          </w:tcPr>
          <w:p>
            <w:r>
              <w:t>Hemolytic Toxicity</w:t>
            </w:r>
          </w:p>
        </w:tc>
        <w:tc>
          <w:tcPr>
            <w:tcW w:type="dxa" w:w="2880"/>
          </w:tcPr>
          <w:p>
            <w:r>
              <w:t>RBC lysis, osmotic stress, membrane damage</w:t>
            </w:r>
          </w:p>
        </w:tc>
        <w:tc>
          <w:tcPr>
            <w:tcW w:type="dxa" w:w="2880"/>
          </w:tcPr>
          <w:p>
            <w:r>
              <w:t>% hemolysis</w:t>
            </w:r>
          </w:p>
        </w:tc>
      </w:tr>
      <w:tr>
        <w:tc>
          <w:tcPr>
            <w:tcW w:type="dxa" w:w="2880"/>
          </w:tcPr>
          <w:p>
            <w:r>
              <w:t>Organ Toxicity</w:t>
            </w:r>
          </w:p>
        </w:tc>
        <w:tc>
          <w:tcPr>
            <w:tcW w:type="dxa" w:w="2880"/>
          </w:tcPr>
          <w:p>
            <w:r>
              <w:t>Hepatotoxicity, nephrotoxicity, pulmonary injury</w:t>
            </w:r>
          </w:p>
        </w:tc>
        <w:tc>
          <w:tcPr>
            <w:tcW w:type="dxa" w:w="2880"/>
          </w:tcPr>
          <w:p>
            <w:r>
              <w:t>Organ damage scoring</w:t>
            </w:r>
          </w:p>
        </w:tc>
      </w:tr>
      <w:tr>
        <w:tc>
          <w:tcPr>
            <w:tcW w:type="dxa" w:w="2880"/>
          </w:tcPr>
          <w:p>
            <w:r>
              <w:t>Immune Activation</w:t>
            </w:r>
          </w:p>
        </w:tc>
        <w:tc>
          <w:tcPr>
            <w:tcW w:type="dxa" w:w="2880"/>
          </w:tcPr>
          <w:p>
            <w:r>
              <w:t>Cytokine release (TNF-α, IL-6), complement activation</w:t>
            </w:r>
          </w:p>
        </w:tc>
        <w:tc>
          <w:tcPr>
            <w:tcW w:type="dxa" w:w="2880"/>
          </w:tcPr>
          <w:p>
            <w:r>
              <w:t>Inflammatory score</w:t>
            </w:r>
          </w:p>
        </w:tc>
      </w:tr>
      <w:tr>
        <w:tc>
          <w:tcPr>
            <w:tcW w:type="dxa" w:w="2880"/>
          </w:tcPr>
          <w:p>
            <w:r>
              <w:t>Genotoxicity</w:t>
            </w:r>
          </w:p>
        </w:tc>
        <w:tc>
          <w:tcPr>
            <w:tcW w:type="dxa" w:w="2880"/>
          </w:tcPr>
          <w:p>
            <w:r>
              <w:t>DNA damage potential, mutagenicity risk</w:t>
            </w:r>
          </w:p>
        </w:tc>
        <w:tc>
          <w:tcPr>
            <w:tcW w:type="dxa" w:w="2880"/>
          </w:tcPr>
          <w:p>
            <w:r>
              <w:t>Genotoxicity score</w:t>
            </w:r>
          </w:p>
        </w:tc>
      </w:tr>
      <w:tr>
        <w:tc>
          <w:tcPr>
            <w:tcW w:type="dxa" w:w="2880"/>
          </w:tcPr>
          <w:p>
            <w:r>
              <w:t>Reproductive/Developmental</w:t>
            </w:r>
          </w:p>
        </w:tc>
        <w:tc>
          <w:tcPr>
            <w:tcW w:type="dxa" w:w="2880"/>
          </w:tcPr>
          <w:p>
            <w:r>
              <w:t>Teratogenicity risk, fertility impact</w:t>
            </w:r>
          </w:p>
        </w:tc>
        <w:tc>
          <w:tcPr>
            <w:tcW w:type="dxa" w:w="2880"/>
          </w:tcPr>
          <w:p>
            <w:r>
              <w:t>Dev. toxicity score</w:t>
            </w:r>
          </w:p>
        </w:tc>
      </w:tr>
      <w:tr>
        <w:tc>
          <w:tcPr>
            <w:tcW w:type="dxa" w:w="2880"/>
          </w:tcPr>
          <w:p>
            <w:r>
              <w:t>Bioaccumulation</w:t>
            </w:r>
          </w:p>
        </w:tc>
        <w:tc>
          <w:tcPr>
            <w:tcW w:type="dxa" w:w="2880"/>
          </w:tcPr>
          <w:p>
            <w:r>
              <w:t>Tissue persistence, long-term retention</w:t>
            </w:r>
          </w:p>
        </w:tc>
        <w:tc>
          <w:tcPr>
            <w:tcW w:type="dxa" w:w="2880"/>
          </w:tcPr>
          <w:p>
            <w:r>
              <w:t>Bioaccumulation index</w:t>
            </w:r>
          </w:p>
        </w:tc>
      </w:tr>
    </w:tbl>
    <w:p>
      <w:pPr>
        <w:pStyle w:val="Heading2"/>
      </w:pPr>
      <w:r>
        <w:t>5.2 Advanced Safety Assessors</w:t>
      </w:r>
    </w:p>
    <w:p>
      <w:r>
        <w:t>Component modules for specialized safety analysis:</w:t>
      </w:r>
    </w:p>
    <w:p>
      <w:pPr>
        <w:pStyle w:val="ListBullet"/>
      </w:pPr>
      <w:r>
        <w:t>Blood Safety Assessor: Comprehensive hemolytic activity and thrombogenicity prediction</w:t>
      </w:r>
    </w:p>
    <w:p>
      <w:pPr>
        <w:pStyle w:val="ListBullet"/>
      </w:pPr>
      <w:r>
        <w:t>Immune Response Predictor: Cytokine profile and complement activation modeling</w:t>
      </w:r>
    </w:p>
    <w:p>
      <w:pPr>
        <w:pStyle w:val="ListBullet"/>
      </w:pPr>
      <w:r>
        <w:t>Environmental Impact Predictor: Ecotoxicity and environmental fate assessment</w:t>
      </w:r>
    </w:p>
    <w:p>
      <w:pPr>
        <w:pStyle w:val="ListBullet"/>
      </w:pPr>
      <w:r>
        <w:t>Osmolarity Calculator: Ion balance and osmotic stress quantification</w:t>
      </w:r>
    </w:p>
    <w:p>
      <w:pPr>
        <w:pStyle w:val="ListBullet"/>
      </w:pPr>
      <w:r>
        <w:t>Batch Quality Control: Manufacturing consistency and sterility prediction</w:t>
      </w:r>
    </w:p>
    <w:p>
      <w:pPr>
        <w:pStyle w:val="ListBullet"/>
      </w:pPr>
      <w:r>
        <w:t>Reproducibility Assessment: Batch-to-batch variability estimation</w:t>
      </w:r>
    </w:p>
    <w:p>
      <w:r>
        <w:br w:type="page"/>
      </w:r>
    </w:p>
    <w:p>
      <w:pPr>
        <w:pStyle w:val="Heading1"/>
      </w:pPr>
      <w:r>
        <w:t>6. AI-Powered Optimization Engine</w:t>
      </w:r>
    </w:p>
    <w:p>
      <w:r>
        <w:t>The NanoBio Studio AI Engine provides sophisticated multi-objective optimization for discovering optimal nanoparticle designs across competing objectives.</w:t>
      </w:r>
    </w:p>
    <w:p>
      <w:pPr>
        <w:pStyle w:val="Heading2"/>
      </w:pPr>
      <w:r>
        <w:t>6.1 Multi-Objective Optimization</w:t>
      </w:r>
    </w:p>
    <w:p>
      <w:r>
        <w:t>The Optuna-based optimization framework balances multiple competing objectives:</w:t>
      </w:r>
    </w:p>
    <w:p>
      <w:pPr>
        <w:pStyle w:val="ListBullet"/>
      </w:pPr>
      <w:r>
        <w:t>Efficacy Maximization: Therapeutic effect and target site accumulation</w:t>
      </w:r>
    </w:p>
    <w:p>
      <w:pPr>
        <w:pStyle w:val="ListBullet"/>
      </w:pPr>
      <w:r>
        <w:t>Safety Optimization: Minimal systemic toxicity and side effects</w:t>
      </w:r>
    </w:p>
    <w:p>
      <w:pPr>
        <w:pStyle w:val="ListBullet"/>
      </w:pPr>
      <w:r>
        <w:t>Cost Minimization: Manufacturing and material expenses</w:t>
      </w:r>
    </w:p>
    <w:p>
      <w:pPr>
        <w:pStyle w:val="ListBullet"/>
      </w:pPr>
      <w:r>
        <w:t>Manufacturability: Scalability and reproducibility</w:t>
      </w:r>
    </w:p>
    <w:p>
      <w:pPr>
        <w:pStyle w:val="Heading2"/>
      </w:pPr>
      <w:r>
        <w:t>6.2 Scenario-Based Optimization Presets</w:t>
      </w:r>
    </w:p>
    <w:p>
      <w:r>
        <w:t>Pre-configured scenarios targeting specific research/clinical needs: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Objective Weights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Academic Research</w:t>
            </w:r>
          </w:p>
        </w:tc>
        <w:tc>
          <w:tcPr>
            <w:tcW w:type="dxa" w:w="2880"/>
          </w:tcPr>
          <w:p>
            <w:r>
              <w:t>Efficacy 50%, Safety 30%, Cost 20%</w:t>
            </w:r>
          </w:p>
        </w:tc>
        <w:tc>
          <w:tcPr>
            <w:tcW w:type="dxa" w:w="2880"/>
          </w:tcPr>
          <w:p>
            <w:r>
              <w:t>Proof-of-concept studies</w:t>
            </w:r>
          </w:p>
        </w:tc>
      </w:tr>
      <w:tr>
        <w:tc>
          <w:tcPr>
            <w:tcW w:type="dxa" w:w="2880"/>
          </w:tcPr>
          <w:p>
            <w:r>
              <w:t>Safety-First</w:t>
            </w:r>
          </w:p>
        </w:tc>
        <w:tc>
          <w:tcPr>
            <w:tcW w:type="dxa" w:w="2880"/>
          </w:tcPr>
          <w:p>
            <w:r>
              <w:t>Efficacy 20%, Safety 70%, Cost 10%</w:t>
            </w:r>
          </w:p>
        </w:tc>
        <w:tc>
          <w:tcPr>
            <w:tcW w:type="dxa" w:w="2880"/>
          </w:tcPr>
          <w:p>
            <w:r>
              <w:t>Regulatory submissions, rare diseases</w:t>
            </w:r>
          </w:p>
        </w:tc>
      </w:tr>
      <w:tr>
        <w:tc>
          <w:tcPr>
            <w:tcW w:type="dxa" w:w="2880"/>
          </w:tcPr>
          <w:p>
            <w:r>
              <w:t>Cost-Constrained</w:t>
            </w:r>
          </w:p>
        </w:tc>
        <w:tc>
          <w:tcPr>
            <w:tcW w:type="dxa" w:w="2880"/>
          </w:tcPr>
          <w:p>
            <w:r>
              <w:t>Efficacy 40%, Safety 40%, Cost 20%</w:t>
            </w:r>
          </w:p>
        </w:tc>
        <w:tc>
          <w:tcPr>
            <w:tcW w:type="dxa" w:w="2880"/>
          </w:tcPr>
          <w:p>
            <w:r>
              <w:t>Large population diseases</w:t>
            </w:r>
          </w:p>
        </w:tc>
      </w:tr>
      <w:tr>
        <w:tc>
          <w:tcPr>
            <w:tcW w:type="dxa" w:w="2880"/>
          </w:tcPr>
          <w:p>
            <w:r>
              <w:t>Manufacturing</w:t>
            </w:r>
          </w:p>
        </w:tc>
        <w:tc>
          <w:tcPr>
            <w:tcW w:type="dxa" w:w="2880"/>
          </w:tcPr>
          <w:p>
            <w:r>
              <w:t>Efficacy 30%, Safety 30%, Cost 40%</w:t>
            </w:r>
          </w:p>
        </w:tc>
        <w:tc>
          <w:tcPr>
            <w:tcW w:type="dxa" w:w="2880"/>
          </w:tcPr>
          <w:p>
            <w:r>
              <w:t>Scalable production</w:t>
            </w:r>
          </w:p>
        </w:tc>
      </w:tr>
      <w:tr>
        <w:tc>
          <w:tcPr>
            <w:tcW w:type="dxa" w:w="2880"/>
          </w:tcPr>
          <w:p>
            <w:r>
              <w:t>Fast-Track</w:t>
            </w:r>
          </w:p>
        </w:tc>
        <w:tc>
          <w:tcPr>
            <w:tcW w:type="dxa" w:w="2880"/>
          </w:tcPr>
          <w:p>
            <w:r>
              <w:t>Efficacy 60%, Safety 25%, Cost 15%</w:t>
            </w:r>
          </w:p>
        </w:tc>
        <w:tc>
          <w:tcPr>
            <w:tcW w:type="dxa" w:w="2880"/>
          </w:tcPr>
          <w:p>
            <w:r>
              <w:t>Time-sensitive programs</w:t>
            </w:r>
          </w:p>
        </w:tc>
      </w:tr>
      <w:tr>
        <w:tc>
          <w:tcPr>
            <w:tcW w:type="dxa" w:w="2880"/>
          </w:tcPr>
          <w:p>
            <w:r>
              <w:t>Balanced</w:t>
            </w:r>
          </w:p>
        </w:tc>
        <w:tc>
          <w:tcPr>
            <w:tcW w:type="dxa" w:w="2880"/>
          </w:tcPr>
          <w:p>
            <w:r>
              <w:t>Efficacy 40%, Safety 40%, Cost 20%</w:t>
            </w:r>
          </w:p>
        </w:tc>
        <w:tc>
          <w:tcPr>
            <w:tcW w:type="dxa" w:w="2880"/>
          </w:tcPr>
          <w:p>
            <w:r>
              <w:t>Standard therapeutic development</w:t>
            </w:r>
          </w:p>
        </w:tc>
      </w:tr>
    </w:tbl>
    <w:p>
      <w:pPr>
        <w:pStyle w:val="Heading2"/>
      </w:pPr>
      <w:r>
        <w:t>6.3 Optimization Capabilities</w:t>
      </w:r>
    </w:p>
    <w:p>
      <w:pPr>
        <w:pStyle w:val="ListBullet"/>
      </w:pPr>
      <w:r>
        <w:t>Constraint-based design space exploration (bounds on all parameters)</w:t>
      </w:r>
    </w:p>
    <w:p>
      <w:pPr>
        <w:pStyle w:val="ListBullet"/>
      </w:pPr>
      <w:r>
        <w:t>Sensitivity analysis: Parameter impact quantification</w:t>
      </w:r>
    </w:p>
    <w:p>
      <w:pPr>
        <w:pStyle w:val="ListBullet"/>
      </w:pPr>
      <w:r>
        <w:t>Pareto front analysis: Trade-off visualization</w:t>
      </w:r>
    </w:p>
    <w:p>
      <w:pPr>
        <w:pStyle w:val="ListBullet"/>
      </w:pPr>
      <w:r>
        <w:t>Confidence scoring: Design recommendation reliability assessment</w:t>
      </w:r>
    </w:p>
    <w:p>
      <w:pPr>
        <w:pStyle w:val="ListBullet"/>
      </w:pPr>
      <w:r>
        <w:t>Explainability reports: Why recommendations were chosen</w:t>
      </w:r>
    </w:p>
    <w:p>
      <w:pPr>
        <w:pStyle w:val="ListBullet"/>
      </w:pPr>
      <w:r>
        <w:t>Audit trail: Complete decision history for regulatory compliance</w:t>
      </w:r>
    </w:p>
    <w:p>
      <w:pPr>
        <w:pStyle w:val="ListBullet"/>
      </w:pPr>
      <w:r>
        <w:t>Real-time visualization: Interactive 3D design space navigation</w:t>
      </w:r>
    </w:p>
    <w:p>
      <w:r>
        <w:br w:type="page"/>
      </w:r>
    </w:p>
    <w:p>
      <w:pPr>
        <w:pStyle w:val="Heading1"/>
      </w:pPr>
      <w:r>
        <w:t>7. Machine Learning Capabilities</w:t>
      </w:r>
    </w:p>
    <w:p>
      <w:r>
        <w:t>NanoBio Studio includes advanced ML training and deployment infrastructure for predictive modeling on nanoparticle data.</w:t>
      </w:r>
    </w:p>
    <w:p>
      <w:pPr>
        <w:pStyle w:val="Heading2"/>
      </w:pPr>
      <w:r>
        <w:t>7.1 ML Model Training</w:t>
      </w:r>
    </w:p>
    <w:p>
      <w:r>
        <w:t>Users can train custom predictive models on uploaded datasets:</w:t>
      </w:r>
    </w:p>
    <w:p>
      <w:pPr>
        <w:pStyle w:val="ListBullet"/>
      </w:pPr>
      <w:r>
        <w:t>Automated feature engineering and selection</w:t>
      </w:r>
    </w:p>
    <w:p>
      <w:pPr>
        <w:pStyle w:val="ListBullet"/>
      </w:pPr>
      <w:r>
        <w:t>Multiple algorithm support: Linear Regression, Random Forest, Gradient Boosting, SVM</w:t>
      </w:r>
    </w:p>
    <w:p>
      <w:pPr>
        <w:pStyle w:val="ListBullet"/>
      </w:pPr>
      <w:r>
        <w:t>Cross-validation with 80/20 train-test split</w:t>
      </w:r>
    </w:p>
    <w:p>
      <w:pPr>
        <w:pStyle w:val="ListBullet"/>
      </w:pPr>
      <w:r>
        <w:t>Hyperparameter optimization</w:t>
      </w:r>
    </w:p>
    <w:p>
      <w:pPr>
        <w:pStyle w:val="ListBullet"/>
      </w:pPr>
      <w:r>
        <w:t>Model performance metrics: R², RMSE, MAE, MSE</w:t>
      </w:r>
    </w:p>
    <w:p>
      <w:pPr>
        <w:pStyle w:val="ListBullet"/>
      </w:pPr>
      <w:r>
        <w:t>Feature importance analysis</w:t>
      </w:r>
    </w:p>
    <w:p>
      <w:pPr>
        <w:pStyle w:val="ListBullet"/>
      </w:pPr>
      <w:r>
        <w:t>Prediction on new data</w:t>
      </w:r>
    </w:p>
    <w:p>
      <w:pPr>
        <w:pStyle w:val="ListBullet"/>
      </w:pPr>
      <w:r>
        <w:t>Model versioning and comparison</w:t>
      </w:r>
    </w:p>
    <w:p>
      <w:pPr>
        <w:pStyle w:val="ListBullet"/>
      </w:pPr>
      <w:r>
        <w:t>Export trained models for deployment</w:t>
      </w:r>
    </w:p>
    <w:p>
      <w:pPr>
        <w:pStyle w:val="Heading2"/>
      </w:pPr>
      <w:r>
        <w:t>7.2 Supported Prediction Tasks</w:t>
      </w:r>
    </w:p>
    <w:p>
      <w:r>
        <w:t>The platform supports multiple regression and classification tasks:</w:t>
      </w:r>
    </w:p>
    <w:p>
      <w:pPr>
        <w:pStyle w:val="ListBullet"/>
      </w:pPr>
      <w:r>
        <w:t>Particle Size Prediction: Estimate optimal size from other parameters</w:t>
      </w:r>
    </w:p>
    <w:p>
      <w:pPr>
        <w:pStyle w:val="ListBullet"/>
      </w:pPr>
      <w:r>
        <w:t>Toxicity Prediction: Forecast safety profiles from design parameters</w:t>
      </w:r>
    </w:p>
    <w:p>
      <w:pPr>
        <w:pStyle w:val="ListBullet"/>
      </w:pPr>
      <w:r>
        <w:t>Drug Encapsulation Prediction: Estimate loading efficiency</w:t>
      </w:r>
    </w:p>
    <w:p>
      <w:pPr>
        <w:pStyle w:val="ListBullet"/>
      </w:pPr>
      <w:r>
        <w:t>Cellular Uptake Prediction: Model internalization rates</w:t>
      </w:r>
    </w:p>
    <w:p>
      <w:pPr>
        <w:pStyle w:val="ListBullet"/>
      </w:pPr>
      <w:r>
        <w:t>Degradation Time Prediction: Estimate in vivo persistence</w:t>
      </w:r>
    </w:p>
    <w:p>
      <w:pPr>
        <w:pStyle w:val="ListBullet"/>
      </w:pPr>
      <w:r>
        <w:t>Delivery Efficiency Prediction: Forecast therapeutic efficacy</w:t>
      </w:r>
    </w:p>
    <w:p>
      <w:pPr>
        <w:pStyle w:val="ListBullet"/>
      </w:pPr>
      <w:r>
        <w:t>Manufacturing Yield Prediction: Estimate production success rates</w:t>
      </w:r>
    </w:p>
    <w:p>
      <w:r>
        <w:br w:type="page"/>
      </w:r>
    </w:p>
    <w:p>
      <w:pPr>
        <w:pStyle w:val="Heading1"/>
      </w:pPr>
      <w:r>
        <w:t>8. Disease &amp; Target Coverage</w:t>
      </w:r>
    </w:p>
    <w:p>
      <w:r>
        <w:t>NanoBio Studio is preloaded with parameters for 10+ disease categories and 12+ biological targets.</w:t>
      </w:r>
    </w:p>
    <w:p>
      <w:pPr>
        <w:pStyle w:val="Heading2"/>
      </w:pPr>
      <w:r>
        <w:t>8.1 Supported Diseases</w:t>
      </w:r>
    </w:p>
    <w:p>
      <w:pPr>
        <w:pStyle w:val="ListBullet"/>
      </w:pPr>
      <w:r>
        <w:t>Cancer (primary focus: multiple tumor types)</w:t>
      </w:r>
    </w:p>
    <w:p>
      <w:pPr>
        <w:pStyle w:val="ListBullet"/>
      </w:pPr>
      <w:r>
        <w:t>Neurological Disorders (Alzheimer's, Parkinson's, Spinal Cord Injury)</w:t>
      </w:r>
    </w:p>
    <w:p>
      <w:pPr>
        <w:pStyle w:val="ListBullet"/>
      </w:pPr>
      <w:r>
        <w:t>Infectious Diseases (Bacterial, Viral, Parasitic)</w:t>
      </w:r>
    </w:p>
    <w:p>
      <w:pPr>
        <w:pStyle w:val="ListBullet"/>
      </w:pPr>
      <w:r>
        <w:t>Inflammatory Diseases (Rheumatoid Arthritis, IBD)</w:t>
      </w:r>
    </w:p>
    <w:p>
      <w:pPr>
        <w:pStyle w:val="ListBullet"/>
      </w:pPr>
      <w:r>
        <w:t>Cardiovascular Diseases (Atherosclerosis, Heart Failure)</w:t>
      </w:r>
    </w:p>
    <w:p>
      <w:pPr>
        <w:pStyle w:val="ListBullet"/>
      </w:pPr>
      <w:r>
        <w:t>Rare Genetic Diseases</w:t>
      </w:r>
    </w:p>
    <w:p>
      <w:pPr>
        <w:pStyle w:val="ListBullet"/>
      </w:pPr>
      <w:r>
        <w:t>Autoimmune Disorders</w:t>
      </w:r>
    </w:p>
    <w:p>
      <w:pPr>
        <w:pStyle w:val="ListBullet"/>
      </w:pPr>
      <w:r>
        <w:t>Metabolic Diseases (Diabetes)</w:t>
      </w:r>
    </w:p>
    <w:p>
      <w:pPr>
        <w:pStyle w:val="Heading2"/>
      </w:pPr>
      <w:r>
        <w:t>8.2 Biological Targets</w:t>
      </w:r>
    </w:p>
    <w:p>
      <w:pPr>
        <w:pStyle w:val="ListBullet"/>
      </w:pPr>
      <w:r>
        <w:t>Tumor cells (cancer-specific antigens)</w:t>
      </w:r>
    </w:p>
    <w:p>
      <w:pPr>
        <w:pStyle w:val="ListBullet"/>
      </w:pPr>
      <w:r>
        <w:t>Immune cells (macrophages, dendritic cells, lymphocytes)</w:t>
      </w:r>
    </w:p>
    <w:p>
      <w:pPr>
        <w:pStyle w:val="ListBullet"/>
      </w:pPr>
      <w:r>
        <w:t>Endothelial cells (blood vessel targeting)</w:t>
      </w:r>
    </w:p>
    <w:p>
      <w:pPr>
        <w:pStyle w:val="ListBullet"/>
      </w:pPr>
      <w:r>
        <w:t>Liver cells (hepatocytes)</w:t>
      </w:r>
    </w:p>
    <w:p>
      <w:pPr>
        <w:pStyle w:val="ListBullet"/>
      </w:pPr>
      <w:r>
        <w:t>Kidney (glomerular filtration, tubular reabsorption)</w:t>
      </w:r>
    </w:p>
    <w:p>
      <w:pPr>
        <w:pStyle w:val="ListBullet"/>
      </w:pPr>
      <w:r>
        <w:t>Brain (blood-brain barrier crossing, neuronal uptake)</w:t>
      </w:r>
    </w:p>
    <w:p>
      <w:pPr>
        <w:pStyle w:val="ListBullet"/>
      </w:pPr>
      <w:r>
        <w:t>Spleen (immune clearance sites)</w:t>
      </w:r>
    </w:p>
    <w:p>
      <w:pPr>
        <w:pStyle w:val="ListBullet"/>
      </w:pPr>
      <w:r>
        <w:t>Lungs (respiratory delivery, alveolar macrophages)</w:t>
      </w:r>
    </w:p>
    <w:p>
      <w:pPr>
        <w:pStyle w:val="ListBullet"/>
      </w:pPr>
      <w:r>
        <w:t>Lymph nodes (immune priming)</w:t>
      </w:r>
    </w:p>
    <w:p>
      <w:pPr>
        <w:pStyle w:val="ListBullet"/>
      </w:pPr>
      <w:r>
        <w:t>Inflamed tissues (pathology-associated targeting)</w:t>
      </w:r>
    </w:p>
    <w:p>
      <w:pPr>
        <w:pStyle w:val="ListBullet"/>
      </w:pPr>
      <w:r>
        <w:t>Bone marrow (stem cell niches)</w:t>
      </w:r>
    </w:p>
    <w:p>
      <w:pPr>
        <w:pStyle w:val="ListBullet"/>
      </w:pPr>
      <w:r>
        <w:t>Specialized compartments (CSF, lymphatic)</w:t>
      </w:r>
    </w:p>
    <w:p>
      <w:r>
        <w:br w:type="page"/>
      </w:r>
    </w:p>
    <w:p>
      <w:pPr>
        <w:pStyle w:val="Heading1"/>
      </w:pPr>
      <w:r>
        <w:t>9. External Data Integration</w:t>
      </w:r>
    </w:p>
    <w:p>
      <w:r>
        <w:t>NanoBio Studio integrates with 6 major public scientific databases to enrich training data and validation.</w:t>
      </w:r>
    </w:p>
    <w:p>
      <w:pPr>
        <w:pStyle w:val="Heading2"/>
      </w:pPr>
      <w:r>
        <w:t>9.1 Integrated 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Records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Scientific Value</w:t>
            </w:r>
          </w:p>
        </w:tc>
      </w:tr>
      <w:tr>
        <w:tc>
          <w:tcPr>
            <w:tcW w:type="dxa" w:w="2160"/>
          </w:tcPr>
          <w:p>
            <w:r>
              <w:t>ToxCast (EPA)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Toxicity screening</w:t>
            </w:r>
          </w:p>
        </w:tc>
        <w:tc>
          <w:tcPr>
            <w:tcW w:type="dxa" w:w="2160"/>
          </w:tcPr>
          <w:p>
            <w:r>
              <w:t>High-throughput toxicity profiles</w:t>
            </w:r>
          </w:p>
        </w:tc>
      </w:tr>
      <w:tr>
        <w:tc>
          <w:tcPr>
            <w:tcW w:type="dxa" w:w="2160"/>
          </w:tcPr>
          <w:p>
            <w:r>
              <w:t>FDA FAERS</w:t>
            </w:r>
          </w:p>
        </w:tc>
        <w:tc>
          <w:tcPr>
            <w:tcW w:type="dxa" w:w="2160"/>
          </w:tcPr>
          <w:p>
            <w:r>
              <w:t>~500</w:t>
            </w:r>
          </w:p>
        </w:tc>
        <w:tc>
          <w:tcPr>
            <w:tcW w:type="dxa" w:w="2160"/>
          </w:tcPr>
          <w:p>
            <w:r>
              <w:t>Adverse events</w:t>
            </w:r>
          </w:p>
        </w:tc>
        <w:tc>
          <w:tcPr>
            <w:tcW w:type="dxa" w:w="2160"/>
          </w:tcPr>
          <w:p>
            <w:r>
              <w:t>Clinical safety post-market</w:t>
            </w:r>
          </w:p>
        </w:tc>
      </w:tr>
      <w:tr>
        <w:tc>
          <w:tcPr>
            <w:tcW w:type="dxa" w:w="2160"/>
          </w:tcPr>
          <w:p>
            <w:r>
              <w:t>GEO (NCBI)</w:t>
            </w:r>
          </w:p>
        </w:tc>
        <w:tc>
          <w:tcPr>
            <w:tcW w:type="dxa" w:w="2160"/>
          </w:tcPr>
          <w:p>
            <w:r>
              <w:t>~300</w:t>
            </w:r>
          </w:p>
        </w:tc>
        <w:tc>
          <w:tcPr>
            <w:tcW w:type="dxa" w:w="2160"/>
          </w:tcPr>
          <w:p>
            <w:r>
              <w:t>Gene expression</w:t>
            </w:r>
          </w:p>
        </w:tc>
        <w:tc>
          <w:tcPr>
            <w:tcW w:type="dxa" w:w="2160"/>
          </w:tcPr>
          <w:p>
            <w:r>
              <w:t>Immunogenicity and cellular response</w:t>
            </w:r>
          </w:p>
        </w:tc>
      </w:tr>
      <w:tr>
        <w:tc>
          <w:tcPr>
            <w:tcW w:type="dxa" w:w="2160"/>
          </w:tcPr>
          <w:p>
            <w:r>
              <w:t>ChemSpider</w:t>
            </w:r>
          </w:p>
        </w:tc>
        <w:tc>
          <w:tcPr>
            <w:tcW w:type="dxa" w:w="2160"/>
          </w:tcPr>
          <w:p>
            <w:r>
              <w:t>~300</w:t>
            </w:r>
          </w:p>
        </w:tc>
        <w:tc>
          <w:tcPr>
            <w:tcW w:type="dxa" w:w="2160"/>
          </w:tcPr>
          <w:p>
            <w:r>
              <w:t>Lipid properties</w:t>
            </w:r>
          </w:p>
        </w:tc>
        <w:tc>
          <w:tcPr>
            <w:tcW w:type="dxa" w:w="2160"/>
          </w:tcPr>
          <w:p>
            <w:r>
              <w:t>Physicochemical database</w:t>
            </w:r>
          </w:p>
        </w:tc>
      </w:tr>
      <w:tr>
        <w:tc>
          <w:tcPr>
            <w:tcW w:type="dxa" w:w="2160"/>
          </w:tcPr>
          <w:p>
            <w:r>
              <w:t>Clinical Trials</w:t>
            </w:r>
          </w:p>
        </w:tc>
        <w:tc>
          <w:tcPr>
            <w:tcW w:type="dxa" w:w="2160"/>
          </w:tcPr>
          <w:p>
            <w:r>
              <w:t>~250</w:t>
            </w:r>
          </w:p>
        </w:tc>
        <w:tc>
          <w:tcPr>
            <w:tcW w:type="dxa" w:w="2160"/>
          </w:tcPr>
          <w:p>
            <w:r>
              <w:t>Trial outcomes</w:t>
            </w:r>
          </w:p>
        </w:tc>
        <w:tc>
          <w:tcPr>
            <w:tcW w:type="dxa" w:w="2160"/>
          </w:tcPr>
          <w:p>
            <w:r>
              <w:t>Real-world efficacy and safety</w:t>
            </w:r>
          </w:p>
        </w:tc>
      </w:tr>
      <w:tr>
        <w:tc>
          <w:tcPr>
            <w:tcW w:type="dxa" w:w="2160"/>
          </w:tcPr>
          <w:p>
            <w:r>
              <w:t>PDB</w:t>
            </w:r>
          </w:p>
        </w:tc>
        <w:tc>
          <w:tcPr>
            <w:tcW w:type="dxa" w:w="2160"/>
          </w:tcPr>
          <w:p>
            <w:r>
              <w:t>~200</w:t>
            </w:r>
          </w:p>
        </w:tc>
        <w:tc>
          <w:tcPr>
            <w:tcW w:type="dxa" w:w="2160"/>
          </w:tcPr>
          <w:p>
            <w:r>
              <w:t>3D structures</w:t>
            </w:r>
          </w:p>
        </w:tc>
        <w:tc>
          <w:tcPr>
            <w:tcW w:type="dxa" w:w="2160"/>
          </w:tcPr>
          <w:p>
            <w:r>
              <w:t>Molecular structure validation</w:t>
            </w:r>
          </w:p>
        </w:tc>
      </w:tr>
    </w:tbl>
    <w:p>
      <w:pPr>
        <w:pStyle w:val="Heading2"/>
      </w:pPr>
      <w:r>
        <w:t>9.2 Data Integration Features</w:t>
      </w:r>
    </w:p>
    <w:p>
      <w:pPr>
        <w:pStyle w:val="ListBullet"/>
      </w:pPr>
      <w:r>
        <w:t>Automated schema conversion to NanoBio 21-parameter format</w:t>
      </w:r>
    </w:p>
    <w:p>
      <w:pPr>
        <w:pStyle w:val="ListBullet"/>
      </w:pPr>
      <w:r>
        <w:t>Confidence scoring (0.6-0.95) for data quality assessment</w:t>
      </w:r>
    </w:p>
    <w:p>
      <w:pPr>
        <w:pStyle w:val="ListBullet"/>
      </w:pPr>
      <w:r>
        <w:t>Batch processing and dataset combination</w:t>
      </w:r>
    </w:p>
    <w:p>
      <w:pPr>
        <w:pStyle w:val="ListBullet"/>
      </w:pPr>
      <w:r>
        <w:t>Error handling and validation</w:t>
      </w:r>
    </w:p>
    <w:p>
      <w:pPr>
        <w:pStyle w:val="ListBullet"/>
      </w:pPr>
      <w:r>
        <w:t>Data enrichment: Filling missing values with ML imputation</w:t>
      </w:r>
    </w:p>
    <w:p>
      <w:pPr>
        <w:pStyle w:val="ListBullet"/>
      </w:pPr>
      <w:r>
        <w:t>Download and caching for offline use</w:t>
      </w:r>
    </w:p>
    <w:p>
      <w:pPr>
        <w:pStyle w:val="ListBullet"/>
      </w:pPr>
      <w:r>
        <w:t>1,850+ integrated records across all sources</w:t>
      </w:r>
    </w:p>
    <w:p>
      <w:r>
        <w:br w:type="page"/>
      </w:r>
    </w:p>
    <w:p>
      <w:pPr>
        <w:pStyle w:val="Heading1"/>
      </w:pPr>
      <w:r>
        <w:t>10. Advanced Analysis &amp; Visualization Tools</w:t>
      </w:r>
    </w:p>
    <w:p>
      <w:pPr>
        <w:pStyle w:val="Heading2"/>
      </w:pPr>
      <w:r>
        <w:t>10.1 Analysis Components</w:t>
      </w:r>
    </w:p>
    <w:p>
      <w:pPr>
        <w:pStyle w:val="ListBullet"/>
      </w:pPr>
      <w:r>
        <w:t>Cellular Uptake Predictor: Mechanism-based internalization modeling</w:t>
      </w:r>
    </w:p>
    <w:p>
      <w:pPr>
        <w:pStyle w:val="ListBullet"/>
      </w:pPr>
      <w:r>
        <w:t>Intracellular Trafficking Predictor: Subcellular localization forecasting</w:t>
      </w:r>
    </w:p>
    <w:p>
      <w:pPr>
        <w:pStyle w:val="ListBullet"/>
      </w:pPr>
      <w:r>
        <w:t>Payload Release Predictor: Drug release kinetics from nanoparticles</w:t>
      </w:r>
    </w:p>
    <w:p>
      <w:pPr>
        <w:pStyle w:val="ListBullet"/>
      </w:pPr>
      <w:r>
        <w:t>Tumor Microenvironment Predictor: Tumor-specific design optimization</w:t>
      </w:r>
    </w:p>
    <w:p>
      <w:pPr>
        <w:pStyle w:val="ListBullet"/>
      </w:pPr>
      <w:r>
        <w:t>Manufacturing Scalability Predictor: Production feasibility assessment</w:t>
      </w:r>
    </w:p>
    <w:p>
      <w:pPr>
        <w:pStyle w:val="ListBullet"/>
      </w:pPr>
      <w:r>
        <w:t>Stability Storage Predictor: Temperature and time-dependent stability</w:t>
      </w:r>
    </w:p>
    <w:p>
      <w:pPr>
        <w:pStyle w:val="ListBullet"/>
      </w:pPr>
      <w:r>
        <w:t>Literature Comparison Predictor: Benchmark against published data</w:t>
      </w:r>
    </w:p>
    <w:p>
      <w:pPr>
        <w:pStyle w:val="ListBullet"/>
      </w:pPr>
      <w:r>
        <w:t>Charge Predictors: Zeta potential calculation and prediction</w:t>
      </w:r>
    </w:p>
    <w:p>
      <w:pPr>
        <w:pStyle w:val="ListBullet"/>
      </w:pPr>
      <w:r>
        <w:t>Cost Analysis Predictor: Manufacturing cost estimation</w:t>
      </w:r>
    </w:p>
    <w:p>
      <w:pPr>
        <w:pStyle w:val="ListBullet"/>
      </w:pPr>
      <w:r>
        <w:t>Intellectual Property Predictor: Patentability assessment</w:t>
      </w:r>
    </w:p>
    <w:p>
      <w:pPr>
        <w:pStyle w:val="ListBullet"/>
      </w:pPr>
      <w:r>
        <w:t>Environmental Impact Predictor: Ecotoxicity and biodegradation</w:t>
      </w:r>
    </w:p>
    <w:p>
      <w:pPr>
        <w:pStyle w:val="ListBullet"/>
      </w:pPr>
      <w:r>
        <w:t>Publication Readiness Predictor: Research presentation quality</w:t>
      </w:r>
    </w:p>
    <w:p>
      <w:pPr>
        <w:pStyle w:val="Heading2"/>
      </w:pPr>
      <w:r>
        <w:t>10.2 3D Visualization</w:t>
      </w:r>
    </w:p>
    <w:p>
      <w:r>
        <w:t>Interactive 3D visualization of nanoparticle structure and properties:</w:t>
      </w:r>
    </w:p>
    <w:p>
      <w:pPr>
        <w:pStyle w:val="ListBullet"/>
      </w:pPr>
      <w:r>
        <w:t>Real-time 3D model rendering of nanoparticle morphology</w:t>
      </w:r>
    </w:p>
    <w:p>
      <w:pPr>
        <w:pStyle w:val="ListBullet"/>
      </w:pPr>
      <w:r>
        <w:t>Surface charge distribution visualization</w:t>
      </w:r>
    </w:p>
    <w:p>
      <w:pPr>
        <w:pStyle w:val="ListBullet"/>
      </w:pPr>
      <w:r>
        <w:t>Size and shape parameter display</w:t>
      </w:r>
    </w:p>
    <w:p>
      <w:pPr>
        <w:pStyle w:val="ListBullet"/>
      </w:pPr>
      <w:r>
        <w:t>Cross-section views for internal structure</w:t>
      </w:r>
    </w:p>
    <w:p>
      <w:pPr>
        <w:pStyle w:val="ListBullet"/>
      </w:pPr>
      <w:r>
        <w:t>Ligand/coating visualization on surface</w:t>
      </w:r>
    </w:p>
    <w:p>
      <w:pPr>
        <w:pStyle w:val="ListBullet"/>
      </w:pPr>
      <w:r>
        <w:t>Interactive rotation, zoom, and pan controls</w:t>
      </w:r>
    </w:p>
    <w:p>
      <w:r>
        <w:br w:type="page"/>
      </w:r>
    </w:p>
    <w:p>
      <w:pPr>
        <w:pStyle w:val="Heading1"/>
      </w:pPr>
      <w:r>
        <w:t>11. Reporting &amp; Compliance Features</w:t>
      </w:r>
    </w:p>
    <w:p>
      <w:pPr>
        <w:pStyle w:val="Heading2"/>
      </w:pPr>
      <w:r>
        <w:t>11.1 Regulatory Audit Trail</w:t>
      </w:r>
    </w:p>
    <w:p>
      <w:r>
        <w:t>Complete documentation for FDA, EMA, and regulatory submissions:</w:t>
      </w:r>
    </w:p>
    <w:p>
      <w:pPr>
        <w:pStyle w:val="ListBullet"/>
      </w:pPr>
      <w:r>
        <w:t>Full decision history: All design choices and reasoning</w:t>
      </w:r>
    </w:p>
    <w:p>
      <w:pPr>
        <w:pStyle w:val="ListBullet"/>
      </w:pPr>
      <w:r>
        <w:t>Timestamp and user attribution tracking</w:t>
      </w:r>
    </w:p>
    <w:p>
      <w:pPr>
        <w:pStyle w:val="ListBullet"/>
      </w:pPr>
      <w:r>
        <w:t>Version control: Track changes over time</w:t>
      </w:r>
    </w:p>
    <w:p>
      <w:pPr>
        <w:pStyle w:val="ListBullet"/>
      </w:pPr>
      <w:r>
        <w:t>Sensitivity analysis: Parameter importance quantification</w:t>
      </w:r>
    </w:p>
    <w:p>
      <w:pPr>
        <w:pStyle w:val="ListBullet"/>
      </w:pPr>
      <w:r>
        <w:t>Confidence metrics: Recommendation reliability scoring</w:t>
      </w:r>
    </w:p>
    <w:p>
      <w:pPr>
        <w:pStyle w:val="ListBullet"/>
      </w:pPr>
      <w:r>
        <w:t>Raw data export: All underlying calculations</w:t>
      </w:r>
    </w:p>
    <w:p>
      <w:pPr>
        <w:pStyle w:val="ListBullet"/>
      </w:pPr>
      <w:r>
        <w:t>JSON and HTML export formats</w:t>
      </w:r>
    </w:p>
    <w:p>
      <w:pPr>
        <w:pStyle w:val="Heading2"/>
      </w:pPr>
      <w:r>
        <w:t>11.2 Export &amp; Reporting Capabilities</w:t>
      </w:r>
    </w:p>
    <w:p>
      <w:pPr>
        <w:pStyle w:val="ListBullet"/>
      </w:pPr>
      <w:r>
        <w:t>Comprehensive PDF Reports: Design summaries with charts and tables</w:t>
      </w:r>
    </w:p>
    <w:p>
      <w:pPr>
        <w:pStyle w:val="ListBullet"/>
      </w:pPr>
      <w:r>
        <w:t>CSV Export: Raw data and simulation results</w:t>
      </w:r>
    </w:p>
    <w:p>
      <w:pPr>
        <w:pStyle w:val="ListBullet"/>
      </w:pPr>
      <w:r>
        <w:t>JSON Export: Complete design specifications</w:t>
      </w:r>
    </w:p>
    <w:p>
      <w:pPr>
        <w:pStyle w:val="ListBullet"/>
      </w:pPr>
      <w:r>
        <w:t>Protocol Generation: AI-generated experimental protocols</w:t>
      </w:r>
    </w:p>
    <w:p>
      <w:pPr>
        <w:pStyle w:val="ListBullet"/>
      </w:pPr>
      <w:r>
        <w:t>Presentation-Ready Figures: Publication-quality graphics</w:t>
      </w:r>
    </w:p>
    <w:p>
      <w:pPr>
        <w:pStyle w:val="ListBullet"/>
      </w:pPr>
      <w:r>
        <w:t>Sensitivity Analysis Reports: Parameter impact analysis</w:t>
      </w:r>
    </w:p>
    <w:p>
      <w:pPr>
        <w:pStyle w:val="ListBullet"/>
      </w:pPr>
      <w:r>
        <w:t>Bench-to-Bedside Pipeline: Translation roadmap visualization</w:t>
      </w:r>
    </w:p>
    <w:p>
      <w:r>
        <w:br w:type="page"/>
      </w:r>
    </w:p>
    <w:p>
      <w:pPr>
        <w:pStyle w:val="Heading1"/>
      </w:pPr>
      <w:r>
        <w:t>12. Educational &amp; Research Capabilities</w:t>
      </w:r>
    </w:p>
    <w:p>
      <w:pPr>
        <w:pStyle w:val="Heading2"/>
      </w:pPr>
      <w:r>
        <w:t>12.1 Educational Tools</w:t>
      </w:r>
    </w:p>
    <w:p>
      <w:r>
        <w:t>NanoBio Studio serves as a comprehensive learning platform for students and educators:</w:t>
      </w:r>
    </w:p>
    <w:p>
      <w:pPr>
        <w:pStyle w:val="ListBullet"/>
      </w:pPr>
      <w:r>
        <w:t>Interactive tutorials with 6+ structured learning exercises</w:t>
      </w:r>
    </w:p>
    <w:p>
      <w:pPr>
        <w:pStyle w:val="ListBullet"/>
      </w:pPr>
      <w:r>
        <w:t>Step-by-step guidance for nanoparticle design workflow</w:t>
      </w:r>
    </w:p>
    <w:p>
      <w:pPr>
        <w:pStyle w:val="ListBullet"/>
      </w:pPr>
      <w:r>
        <w:t>Disease selection with detailed background information</w:t>
      </w:r>
    </w:p>
    <w:p>
      <w:pPr>
        <w:pStyle w:val="ListBullet"/>
      </w:pPr>
      <w:r>
        <w:t>Parameter explanations with scientific rationale</w:t>
      </w:r>
    </w:p>
    <w:p>
      <w:pPr>
        <w:pStyle w:val="ListBullet"/>
      </w:pPr>
      <w:r>
        <w:t>Real-time simulation feedback for immediate learning</w:t>
      </w:r>
    </w:p>
    <w:p>
      <w:pPr>
        <w:pStyle w:val="ListBullet"/>
      </w:pPr>
      <w:r>
        <w:t>Instructor resources: Teaching modules and lesson plans</w:t>
      </w:r>
    </w:p>
    <w:p>
      <w:pPr>
        <w:pStyle w:val="ListBullet"/>
      </w:pPr>
      <w:r>
        <w:t>Password-protected instructor portal for grades and assessments</w:t>
      </w:r>
    </w:p>
    <w:p>
      <w:pPr>
        <w:pStyle w:val="Heading2"/>
      </w:pPr>
      <w:r>
        <w:t>12.2 Research Capabilities</w:t>
      </w:r>
    </w:p>
    <w:p>
      <w:r>
        <w:t>Advanced workflows for research and development:</w:t>
      </w:r>
    </w:p>
    <w:p>
      <w:pPr>
        <w:pStyle w:val="ListBullet"/>
      </w:pPr>
      <w:r>
        <w:t>Multi-parameter optimization for drug development</w:t>
      </w:r>
    </w:p>
    <w:p>
      <w:pPr>
        <w:pStyle w:val="ListBullet"/>
      </w:pPr>
      <w:r>
        <w:t>Custom dosing strategies and administration routes</w:t>
      </w:r>
    </w:p>
    <w:p>
      <w:pPr>
        <w:pStyle w:val="ListBullet"/>
      </w:pPr>
      <w:r>
        <w:t>Disease-specific design optimization</w:t>
      </w:r>
    </w:p>
    <w:p>
      <w:pPr>
        <w:pStyle w:val="ListBullet"/>
      </w:pPr>
      <w:r>
        <w:t>Safety profile benchmarking against existing therapeutics</w:t>
      </w:r>
    </w:p>
    <w:p>
      <w:pPr>
        <w:pStyle w:val="ListBullet"/>
      </w:pPr>
      <w:r>
        <w:t>Batch analysis for formulation screening</w:t>
      </w:r>
    </w:p>
    <w:p>
      <w:pPr>
        <w:pStyle w:val="ListBullet"/>
      </w:pPr>
      <w:r>
        <w:t>Data management and version control</w:t>
      </w:r>
    </w:p>
    <w:p>
      <w:pPr>
        <w:pStyle w:val="ListBullet"/>
      </w:pPr>
      <w:r>
        <w:t>Collaboration workflows with role-based access</w:t>
      </w:r>
    </w:p>
    <w:p>
      <w:pPr>
        <w:pStyle w:val="ListBullet"/>
      </w:pPr>
      <w:r>
        <w:t>High-throughput virtual screening capabilities</w:t>
      </w:r>
    </w:p>
    <w:p>
      <w:pPr>
        <w:pStyle w:val="Heading2"/>
      </w:pPr>
      <w:r>
        <w:t>12.3 System Requirements</w:t>
      </w:r>
    </w:p>
    <w:p>
      <w:r>
        <w:t>Technical requirements for deployment and use:</w:t>
      </w:r>
    </w:p>
    <w:p>
      <w:pPr>
        <w:pStyle w:val="ListBullet"/>
      </w:pPr>
      <w:r>
        <w:t>Python 3.8+</w:t>
      </w:r>
    </w:p>
    <w:p>
      <w:pPr>
        <w:pStyle w:val="ListBullet"/>
      </w:pPr>
      <w:r>
        <w:t>Streamlit web framework</w:t>
      </w:r>
    </w:p>
    <w:p>
      <w:pPr>
        <w:pStyle w:val="ListBullet"/>
      </w:pPr>
      <w:r>
        <w:t>Scientific computing stack (NumPy, SciPy, Pandas, Scikit-learn)</w:t>
      </w:r>
    </w:p>
    <w:p>
      <w:pPr>
        <w:pStyle w:val="ListBullet"/>
      </w:pPr>
      <w:r>
        <w:t>Machine learning libraries (Optuna, XGBoost, PyTorch)</w:t>
      </w:r>
    </w:p>
    <w:p>
      <w:pPr>
        <w:pStyle w:val="ListBullet"/>
      </w:pPr>
      <w:r>
        <w:t>Visualization libraries (Matplotlib, Plotly, Py3Dmol)</w:t>
      </w:r>
    </w:p>
    <w:p>
      <w:pPr>
        <w:pStyle w:val="ListBullet"/>
      </w:pPr>
      <w:r>
        <w:t>Database support (JSON-based and SQL-ready)</w:t>
      </w:r>
    </w:p>
    <w:p>
      <w:pPr>
        <w:pStyle w:val="ListBullet"/>
      </w:pPr>
      <w:r>
        <w:t>Minimum 4GB RAM for optimal performance</w:t>
      </w:r>
    </w:p>
    <w:p>
      <w:pPr>
        <w:pStyle w:val="ListBullet"/>
      </w:pPr>
      <w:r>
        <w:t>Modern web browser for UI access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NanoBio Studio represents a comprehensive, scientifically rigorous platform for nanoparticle design and optimization. By integrating advanced computational models, multi-objective optimization, machine learning, and regulatory compliance features, the platform accelerates the translation of nanoparticle discoveries from the laboratory to the clinic.</w:t>
      </w:r>
    </w:p>
    <w:p>
      <w:r>
        <w:t>The combination of sophisticated scientific algorithms, external data integration, and user-friendly interfaces makes NanoBio Studio suitable for academic research, pharmaceutical development, and educational training. The platform's extensible architecture allows for continuous enhancement with new models, data sources, and analytical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