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val="1"/>
        <w:jc w:val="center"/>
      </w:pPr>
      <w:r>
        <w:rPr>
          <w:rFonts w:ascii="Arial" w:hAnsi="Arial" w:cs="Arial"/>
          <w:b/>
          <w:i w:val="0"/>
          <w:color w:val="1F3B63"/>
          <w:sz w:val="60"/>
          <w:szCs w:val="60"/>
          <w:bCs/>
          <w:rtl/>
        </w:rPr>
        <w:t>HOVERTRANSLATE</w:t>
      </w:r>
    </w:p>
    <w:p>
      <w:pPr>
        <w:bidi w:val="1"/>
        <w:jc w:val="center"/>
      </w:pPr>
      <w:r>
        <w:rPr>
          <w:rFonts w:ascii="Arial" w:hAnsi="Arial" w:cs="Arial"/>
          <w:b w:val="0"/>
          <w:i w:val="0"/>
          <w:color w:val="2E5E8C"/>
          <w:sz w:val="28"/>
          <w:szCs w:val="28"/>
          <w:rtl/>
        </w:rPr>
        <w:t>ترجمة فورية بنقرة واحدة — تطبيق Windows بلغة Python</w:t>
      </w:r>
    </w:p>
    <w:p/>
    <w:p>
      <w:pPr>
        <w:bidi w:val="1"/>
        <w:jc w:val="center"/>
      </w:pPr>
      <w:r>
        <w:rPr>
          <w:rFonts w:ascii="Arial" w:hAnsi="Arial" w:cs="Arial"/>
          <w:b/>
          <w:i w:val="0"/>
          <w:sz w:val="40"/>
          <w:szCs w:val="40"/>
          <w:bCs/>
          <w:rtl/>
        </w:rPr>
        <w:t>دليل الحزمة ونظرة عامة</w:t>
      </w:r>
    </w:p>
    <w:p>
      <w:pPr>
        <w:bidi w:val="1"/>
        <w:jc w:val="center"/>
      </w:pPr>
      <w:r>
        <w:rPr>
          <w:rFonts w:ascii="Arial" w:hAnsi="Arial" w:cs="Arial"/>
          <w:b w:val="0"/>
          <w:i w:val="0"/>
          <w:color w:val="2E5E8C"/>
          <w:sz w:val="24"/>
          <w:szCs w:val="24"/>
          <w:rtl/>
        </w:rPr>
        <w:t>حزمة الوثائق الهندسية المعتمدة — نسخة تنفيذ Python 3.14.5</w:t>
      </w:r>
    </w:p>
    <w:p/>
    <w:p/>
    <w:tbl>
      <w:tblPr>
        <w:tblStyle w:val="TableGrid"/>
        <w:tblW w:type="auto" w:w="0"/>
        <w:tblLook w:firstColumn="1" w:firstRow="1" w:lastColumn="0" w:lastRow="0" w:noHBand="0" w:noVBand="1" w:val="04A0"/>
        <w:bidiVisual/>
      </w:tblPr>
      <w:tblGrid>
        <w:gridCol w:w="4706"/>
        <w:gridCol w:w="4706"/>
      </w:tblGrid>
      <w:tr>
        <w:tc>
          <w:tcPr>
            <w:tcW w:type="dxa" w:w="4706"/>
            <w:shd w:val="clear" w:fill="E3EAF3"/>
          </w:tcPr>
          <w:p>
            <w:pPr>
              <w:bidi w:val="1"/>
              <w:jc w:val="center"/>
            </w:pPr>
            <w:r>
              <w:rPr>
                <w:rFonts w:ascii="Arial" w:hAnsi="Arial" w:cs="Arial"/>
                <w:b/>
                <w:i w:val="0"/>
                <w:color w:val="1F3B63"/>
                <w:sz w:val="21"/>
                <w:szCs w:val="21"/>
                <w:bCs/>
                <w:rtl/>
              </w:rPr>
              <w:t>البند</w:t>
            </w:r>
          </w:p>
        </w:tc>
        <w:tc>
          <w:tcPr>
            <w:tcW w:type="dxa" w:w="4706"/>
            <w:shd w:val="clear" w:fill="E3EAF3"/>
          </w:tcPr>
          <w:p>
            <w:pPr>
              <w:bidi w:val="1"/>
              <w:jc w:val="center"/>
            </w:pPr>
            <w:r>
              <w:rPr>
                <w:rFonts w:ascii="Arial" w:hAnsi="Arial" w:cs="Arial"/>
                <w:b/>
                <w:i w:val="0"/>
                <w:color w:val="1F3B63"/>
                <w:sz w:val="21"/>
                <w:szCs w:val="21"/>
                <w:bCs/>
                <w:rtl/>
              </w:rPr>
              <w:t>القيمة</w:t>
            </w:r>
          </w:p>
        </w:tc>
      </w:tr>
      <w:tr>
        <w:tc>
          <w:tcPr>
            <w:tcW w:type="dxa" w:w="4706"/>
          </w:tcPr>
          <w:p>
            <w:pPr>
              <w:bidi w:val="1"/>
              <w:jc w:val="right"/>
            </w:pPr>
            <w:r>
              <w:rPr>
                <w:rFonts w:ascii="Arial" w:hAnsi="Arial" w:cs="Arial"/>
                <w:b w:val="0"/>
                <w:i w:val="0"/>
                <w:sz w:val="21"/>
                <w:szCs w:val="21"/>
                <w:rtl/>
              </w:rPr>
              <w:t>رمز الوثيقة</w:t>
            </w:r>
          </w:p>
        </w:tc>
        <w:tc>
          <w:tcPr>
            <w:tcW w:type="dxa" w:w="4706"/>
          </w:tcPr>
          <w:p>
            <w:pPr>
              <w:bidi w:val="1"/>
              <w:jc w:val="right"/>
            </w:pPr>
            <w:r>
              <w:rPr>
                <w:rFonts w:ascii="Arial" w:hAnsi="Arial" w:cs="Arial"/>
                <w:b w:val="0"/>
                <w:i w:val="0"/>
                <w:sz w:val="21"/>
                <w:szCs w:val="21"/>
                <w:rtl/>
              </w:rPr>
              <w:t>HT-README-00</w:t>
            </w:r>
          </w:p>
        </w:tc>
      </w:tr>
      <w:tr>
        <w:tc>
          <w:tcPr>
            <w:tcW w:type="dxa" w:w="4706"/>
          </w:tcPr>
          <w:p>
            <w:pPr>
              <w:bidi w:val="1"/>
              <w:jc w:val="right"/>
            </w:pPr>
            <w:r>
              <w:rPr>
                <w:rFonts w:ascii="Arial" w:hAnsi="Arial" w:cs="Arial"/>
                <w:b w:val="0"/>
                <w:i w:val="0"/>
                <w:sz w:val="21"/>
                <w:szCs w:val="21"/>
                <w:rtl/>
              </w:rPr>
              <w:t>الإصدار</w:t>
            </w:r>
          </w:p>
        </w:tc>
        <w:tc>
          <w:tcPr>
            <w:tcW w:type="dxa" w:w="4706"/>
          </w:tcPr>
          <w:p>
            <w:pPr>
              <w:bidi w:val="1"/>
              <w:jc w:val="right"/>
            </w:pPr>
            <w:r>
              <w:rPr>
                <w:rFonts w:ascii="Arial" w:hAnsi="Arial" w:cs="Arial"/>
                <w:b w:val="0"/>
                <w:i w:val="0"/>
                <w:sz w:val="21"/>
                <w:szCs w:val="21"/>
                <w:rtl/>
              </w:rPr>
              <w:t>3.0 — نسخة Python 3.14.5 المعتمدة</w:t>
            </w:r>
          </w:p>
        </w:tc>
      </w:tr>
      <w:tr>
        <w:tc>
          <w:tcPr>
            <w:tcW w:type="dxa" w:w="4706"/>
          </w:tcPr>
          <w:p>
            <w:pPr>
              <w:bidi w:val="1"/>
              <w:jc w:val="right"/>
            </w:pPr>
            <w:r>
              <w:rPr>
                <w:rFonts w:ascii="Arial" w:hAnsi="Arial" w:cs="Arial"/>
                <w:b w:val="0"/>
                <w:i w:val="0"/>
                <w:sz w:val="21"/>
                <w:szCs w:val="21"/>
                <w:rtl/>
              </w:rPr>
              <w:t>الحالة</w:t>
            </w:r>
          </w:p>
        </w:tc>
        <w:tc>
          <w:tcPr>
            <w:tcW w:type="dxa" w:w="4706"/>
          </w:tcPr>
          <w:p>
            <w:pPr>
              <w:bidi w:val="1"/>
              <w:jc w:val="right"/>
            </w:pPr>
            <w:r>
              <w:rPr>
                <w:rFonts w:ascii="Arial" w:hAnsi="Arial" w:cs="Arial"/>
                <w:b w:val="0"/>
                <w:i w:val="0"/>
                <w:sz w:val="21"/>
                <w:szCs w:val="21"/>
                <w:rtl/>
              </w:rPr>
              <w:t>معتمدة كمرجع للتنفيذ</w:t>
            </w:r>
          </w:p>
        </w:tc>
      </w:tr>
      <w:tr>
        <w:tc>
          <w:tcPr>
            <w:tcW w:type="dxa" w:w="4706"/>
          </w:tcPr>
          <w:p>
            <w:pPr>
              <w:bidi w:val="1"/>
              <w:jc w:val="right"/>
            </w:pPr>
            <w:r>
              <w:rPr>
                <w:rFonts w:ascii="Arial" w:hAnsi="Arial" w:cs="Arial"/>
                <w:b w:val="0"/>
                <w:i w:val="0"/>
                <w:sz w:val="21"/>
                <w:szCs w:val="21"/>
                <w:rtl/>
              </w:rPr>
              <w:t>المُعدّ / المالك</w:t>
            </w:r>
          </w:p>
        </w:tc>
        <w:tc>
          <w:tcPr>
            <w:tcW w:type="dxa" w:w="4706"/>
          </w:tcPr>
          <w:p>
            <w:pPr>
              <w:bidi w:val="1"/>
              <w:jc w:val="right"/>
            </w:pPr>
            <w:r>
              <w:rPr>
                <w:rFonts w:ascii="Arial" w:hAnsi="Arial" w:cs="Arial"/>
                <w:b w:val="0"/>
                <w:i w:val="0"/>
                <w:sz w:val="21"/>
                <w:szCs w:val="21"/>
                <w:rtl/>
              </w:rPr>
              <w:t>المهندس شادي</w:t>
            </w:r>
          </w:p>
        </w:tc>
      </w:tr>
      <w:tr>
        <w:tc>
          <w:tcPr>
            <w:tcW w:type="dxa" w:w="4706"/>
          </w:tcPr>
          <w:p>
            <w:pPr>
              <w:bidi w:val="1"/>
              <w:jc w:val="right"/>
            </w:pPr>
            <w:r>
              <w:rPr>
                <w:rFonts w:ascii="Arial" w:hAnsi="Arial" w:cs="Arial"/>
                <w:b w:val="0"/>
                <w:i w:val="0"/>
                <w:sz w:val="21"/>
                <w:szCs w:val="21"/>
                <w:rtl/>
              </w:rPr>
              <w:t>تاريخ الإعداد</w:t>
            </w:r>
          </w:p>
        </w:tc>
        <w:tc>
          <w:tcPr>
            <w:tcW w:type="dxa" w:w="4706"/>
          </w:tcPr>
          <w:p>
            <w:pPr>
              <w:bidi w:val="1"/>
              <w:jc w:val="right"/>
            </w:pPr>
            <w:r>
              <w:rPr>
                <w:rFonts w:ascii="Arial" w:hAnsi="Arial" w:cs="Arial"/>
                <w:b w:val="0"/>
                <w:i w:val="0"/>
                <w:sz w:val="21"/>
                <w:szCs w:val="21"/>
                <w:rtl/>
              </w:rPr>
              <w:t>21 أكتوبر 2026</w:t>
            </w:r>
          </w:p>
        </w:tc>
      </w:tr>
    </w:tbl>
    <w:p>
      <w:pPr>
        <w:spacing w:after="40"/>
      </w:pPr>
    </w:p>
    <w:p/>
    <w:p/>
    <w:p>
      <w:pPr>
        <w:bidi w:val="1"/>
        <w:jc w:val="center"/>
      </w:pPr>
      <w:r>
        <w:rPr>
          <w:rFonts w:ascii="Arial" w:hAnsi="Arial" w:cs="Arial"/>
          <w:b/>
          <w:i w:val="0"/>
          <w:color w:val="1F3B63"/>
          <w:sz w:val="32"/>
          <w:szCs w:val="32"/>
          <w:bCs/>
          <w:rtl/>
        </w:rPr>
        <w:t>إعداد: م. شادي</w:t>
      </w:r>
    </w:p>
    <w:p>
      <w:r>
        <w:br w:type="page"/>
      </w:r>
    </w:p>
    <w:p>
      <w:pPr>
        <w:bidi w:val="1"/>
        <w:spacing w:before="280" w:after="120"/>
        <w:jc w:val="right"/>
        <w:outlineLvl w:val="0"/>
        <w:pBdr>
          <w:bottom w:val="single" w:sz="6" w:space="2" w:color="1F3B63"/>
        </w:pBdr>
      </w:pPr>
      <w:r>
        <w:rPr>
          <w:rFonts w:ascii="Arial" w:hAnsi="Arial" w:cs="Arial"/>
          <w:b/>
          <w:i w:val="0"/>
          <w:color w:val="1F3B63"/>
          <w:sz w:val="30"/>
          <w:szCs w:val="30"/>
          <w:bCs/>
          <w:rtl/>
        </w:rPr>
        <w:t>الفهرس</w:t>
      </w:r>
    </w:p>
    <w:p>
      <w:pPr>
        <w:bidi w:val="1"/>
        <w:jc w:val="right"/>
      </w:pPr>
      <w:r>
        <w:rPr>
          <w:rFonts w:ascii="Arial" w:hAnsi="Arial" w:cs="Arial"/>
          <w:b/>
          <w:i w:val="0"/>
          <w:sz w:val="22"/>
          <w:szCs w:val="22"/>
          <w:bCs/>
          <w:rtl/>
        </w:rPr>
        <w:t>1. نبذة عن المشروع</w:t>
      </w:r>
    </w:p>
    <w:p>
      <w:pPr>
        <w:bidi w:val="1"/>
        <w:jc w:val="right"/>
      </w:pPr>
      <w:r>
        <w:rPr>
          <w:rFonts w:ascii="Arial" w:hAnsi="Arial" w:cs="Arial"/>
          <w:b/>
          <w:i w:val="0"/>
          <w:sz w:val="22"/>
          <w:szCs w:val="22"/>
          <w:bCs/>
          <w:rtl/>
        </w:rPr>
        <w:t>2. محتويات الحزمة</w:t>
      </w:r>
    </w:p>
    <w:p>
      <w:pPr>
        <w:bidi w:val="1"/>
        <w:jc w:val="right"/>
      </w:pPr>
      <w:r>
        <w:rPr>
          <w:rFonts w:ascii="Arial" w:hAnsi="Arial" w:cs="Arial"/>
          <w:b/>
          <w:i w:val="0"/>
          <w:sz w:val="22"/>
          <w:szCs w:val="22"/>
          <w:bCs/>
          <w:rtl/>
        </w:rPr>
        <w:t>3. ملخص القرار التقني الأساسي</w:t>
      </w:r>
    </w:p>
    <w:p>
      <w:pPr>
        <w:bidi w:val="1"/>
        <w:jc w:val="right"/>
      </w:pPr>
      <w:r>
        <w:rPr>
          <w:rFonts w:ascii="Arial" w:hAnsi="Arial" w:cs="Arial"/>
          <w:b/>
          <w:i w:val="0"/>
          <w:sz w:val="22"/>
          <w:szCs w:val="22"/>
          <w:bCs/>
          <w:rtl/>
        </w:rPr>
        <w:t>4. حالة الوثائق</w:t>
      </w:r>
    </w:p>
    <w:p>
      <w:pPr>
        <w:bidi w:val="1"/>
        <w:jc w:val="right"/>
      </w:pPr>
      <w:r>
        <w:rPr>
          <w:rFonts w:ascii="Arial" w:hAnsi="Arial" w:cs="Arial"/>
          <w:b/>
          <w:i w:val="0"/>
          <w:sz w:val="22"/>
          <w:szCs w:val="22"/>
          <w:bCs/>
          <w:rtl/>
        </w:rPr>
        <w:t>5. قرارات مُغلقة في هذه النسخة</w:t>
      </w:r>
    </w:p>
    <w:p>
      <w:r>
        <w:br w:type="page"/>
      </w:r>
    </w:p>
    <w:tbl>
      <w:tblPr>
        <w:tblStyle w:val="TableGrid"/>
        <w:tblW w:type="auto" w:w="0"/>
        <w:tblLook w:firstColumn="1" w:firstRow="1" w:lastColumn="0" w:lastRow="0" w:noHBand="0" w:noVBand="1" w:val="04A0"/>
        <w:bidiVisual/>
      </w:tblPr>
      <w:tblGrid>
        <w:gridCol w:w="2353"/>
        <w:gridCol w:w="2353"/>
        <w:gridCol w:w="2353"/>
        <w:gridCol w:w="2353"/>
      </w:tblGrid>
      <w:tr>
        <w:tc>
          <w:tcPr>
            <w:tcW w:type="dxa" w:w="2353"/>
            <w:shd w:val="clear" w:fill="E3EAF3"/>
          </w:tcPr>
          <w:p>
            <w:pPr>
              <w:bidi w:val="1"/>
              <w:jc w:val="center"/>
            </w:pPr>
            <w:r>
              <w:rPr>
                <w:rFonts w:ascii="Arial" w:hAnsi="Arial" w:cs="Arial"/>
                <w:b/>
                <w:i w:val="0"/>
                <w:color w:val="1F3B63"/>
                <w:sz w:val="21"/>
                <w:szCs w:val="21"/>
                <w:bCs/>
                <w:rtl/>
              </w:rPr>
              <w:t>رمز الوثيقة</w:t>
            </w:r>
          </w:p>
        </w:tc>
        <w:tc>
          <w:tcPr>
            <w:tcW w:type="dxa" w:w="2353"/>
            <w:shd w:val="clear" w:fill="E3EAF3"/>
          </w:tcPr>
          <w:p>
            <w:pPr>
              <w:bidi w:val="1"/>
              <w:jc w:val="center"/>
            </w:pPr>
            <w:r>
              <w:rPr>
                <w:rFonts w:ascii="Arial" w:hAnsi="Arial" w:cs="Arial"/>
                <w:b/>
                <w:i w:val="0"/>
                <w:color w:val="1F3B63"/>
                <w:sz w:val="21"/>
                <w:szCs w:val="21"/>
                <w:bCs/>
                <w:rtl/>
              </w:rPr>
              <w:t>الإصدار</w:t>
            </w:r>
          </w:p>
        </w:tc>
        <w:tc>
          <w:tcPr>
            <w:tcW w:type="dxa" w:w="2353"/>
            <w:shd w:val="clear" w:fill="E3EAF3"/>
          </w:tcPr>
          <w:p>
            <w:pPr>
              <w:bidi w:val="1"/>
              <w:jc w:val="center"/>
            </w:pPr>
            <w:r>
              <w:rPr>
                <w:rFonts w:ascii="Arial" w:hAnsi="Arial" w:cs="Arial"/>
                <w:b/>
                <w:i w:val="0"/>
                <w:color w:val="1F3B63"/>
                <w:sz w:val="21"/>
                <w:szCs w:val="21"/>
                <w:bCs/>
                <w:rtl/>
              </w:rPr>
              <w:t>الحالة</w:t>
            </w:r>
          </w:p>
        </w:tc>
        <w:tc>
          <w:tcPr>
            <w:tcW w:type="dxa" w:w="2353"/>
            <w:shd w:val="clear" w:fill="E3EAF3"/>
          </w:tcPr>
          <w:p>
            <w:pPr>
              <w:bidi w:val="1"/>
              <w:jc w:val="center"/>
            </w:pPr>
            <w:r>
              <w:rPr>
                <w:rFonts w:ascii="Arial" w:hAnsi="Arial" w:cs="Arial"/>
                <w:b/>
                <w:i w:val="0"/>
                <w:color w:val="1F3B63"/>
                <w:sz w:val="21"/>
                <w:szCs w:val="21"/>
                <w:bCs/>
                <w:rtl/>
              </w:rPr>
              <w:t>المُعدّ / المالك</w:t>
            </w:r>
          </w:p>
        </w:tc>
      </w:tr>
      <w:tr>
        <w:tc>
          <w:tcPr>
            <w:tcW w:type="dxa" w:w="2353"/>
          </w:tcPr>
          <w:p>
            <w:pPr>
              <w:bidi w:val="1"/>
              <w:jc w:val="right"/>
            </w:pPr>
            <w:r>
              <w:rPr>
                <w:rFonts w:ascii="Arial" w:hAnsi="Arial" w:cs="Arial"/>
                <w:b w:val="0"/>
                <w:i w:val="0"/>
                <w:sz w:val="21"/>
                <w:szCs w:val="21"/>
                <w:rtl/>
              </w:rPr>
              <w:t>HT-README-00</w:t>
            </w:r>
          </w:p>
        </w:tc>
        <w:tc>
          <w:tcPr>
            <w:tcW w:type="dxa" w:w="2353"/>
          </w:tcPr>
          <w:p>
            <w:pPr>
              <w:bidi w:val="1"/>
              <w:jc w:val="right"/>
            </w:pPr>
            <w:r>
              <w:rPr>
                <w:rFonts w:ascii="Arial" w:hAnsi="Arial" w:cs="Arial"/>
                <w:b w:val="0"/>
                <w:i w:val="0"/>
                <w:sz w:val="21"/>
                <w:szCs w:val="21"/>
                <w:rtl/>
              </w:rPr>
              <w:t>3.0</w:t>
            </w:r>
          </w:p>
        </w:tc>
        <w:tc>
          <w:tcPr>
            <w:tcW w:type="dxa" w:w="2353"/>
          </w:tcPr>
          <w:p>
            <w:pPr>
              <w:bidi w:val="1"/>
              <w:jc w:val="right"/>
            </w:pPr>
            <w:r>
              <w:rPr>
                <w:rFonts w:ascii="Arial" w:hAnsi="Arial" w:cs="Arial"/>
                <w:b w:val="0"/>
                <w:i w:val="0"/>
                <w:sz w:val="21"/>
                <w:szCs w:val="21"/>
                <w:rtl/>
              </w:rPr>
              <w:t>معتمدة كمرجع للتنفيذ</w:t>
            </w:r>
          </w:p>
        </w:tc>
        <w:tc>
          <w:tcPr>
            <w:tcW w:type="dxa" w:w="2353"/>
          </w:tcPr>
          <w:p>
            <w:pPr>
              <w:bidi w:val="1"/>
              <w:jc w:val="right"/>
            </w:pPr>
            <w:r>
              <w:rPr>
                <w:rFonts w:ascii="Arial" w:hAnsi="Arial" w:cs="Arial"/>
                <w:b w:val="0"/>
                <w:i w:val="0"/>
                <w:sz w:val="21"/>
                <w:szCs w:val="21"/>
                <w:rtl/>
              </w:rPr>
              <w:t>المهندس شادي</w:t>
            </w:r>
          </w:p>
        </w:tc>
      </w:tr>
    </w:tbl>
    <w:p>
      <w:pPr>
        <w:spacing w:after="40"/>
      </w:pPr>
    </w:p>
    <w:p>
      <w:pPr>
        <w:bidi w:val="1"/>
        <w:spacing w:before="280" w:after="120"/>
        <w:jc w:val="right"/>
        <w:outlineLvl w:val="0"/>
        <w:pBdr>
          <w:bottom w:val="single" w:sz="6" w:space="2" w:color="1F3B63"/>
        </w:pBdr>
      </w:pPr>
      <w:r>
        <w:rPr>
          <w:rFonts w:ascii="Arial" w:hAnsi="Arial" w:cs="Arial"/>
          <w:b/>
          <w:i w:val="0"/>
          <w:color w:val="1F3B63"/>
          <w:sz w:val="30"/>
          <w:szCs w:val="30"/>
          <w:bCs/>
          <w:rtl/>
        </w:rPr>
        <w:t>1. نبذة عن المشروع</w:t>
      </w:r>
    </w:p>
    <w:p>
      <w:pPr>
        <w:bidi w:val="1"/>
        <w:spacing w:after="80" w:line="276" w:lineRule="auto"/>
        <w:jc w:val="both"/>
      </w:pPr>
      <w:r>
        <w:rPr>
          <w:rFonts w:ascii="Arial" w:hAnsi="Arial" w:cs="Arial"/>
          <w:b w:val="0"/>
          <w:i w:val="0"/>
          <w:sz w:val="22"/>
          <w:szCs w:val="22"/>
          <w:rtl/>
        </w:rPr>
        <w:t>HOVERTRANSLATE تطبيق سطح مكتب على Windows مكتوب بلغة Python، يتيح ترجمة فورية من العربية إلى الروسية ومن الروسية إلى العربية عبر التفاعل مع مؤشر الفأرة أو النص المحدد، مع استخدام OCR محلي كمسار احتياطي عند تعذر استخراج النص مباشرة. تتحول بهذه النسخة من المعمارية الأصلية (C#/.NET/WPF) إلى تنفيذ Python كامل، ومن خط الأساس السابق (Python 3.12+) إلى الإصدار النهائي المحدد Python 3.14.5.</w:t>
      </w:r>
    </w:p>
    <w:p>
      <w:pPr>
        <w:bidi w:val="1"/>
        <w:spacing w:after="80" w:line="276" w:lineRule="auto"/>
        <w:jc w:val="both"/>
      </w:pPr>
      <w:r>
        <w:rPr>
          <w:rFonts w:ascii="Arial" w:hAnsi="Arial" w:cs="Arial"/>
          <w:b w:val="0"/>
          <w:i w:val="0"/>
          <w:sz w:val="22"/>
          <w:szCs w:val="22"/>
          <w:rtl/>
        </w:rPr>
        <w:t>هذه الحزمة هي النسخة النهائية المعتمدة من الوثائق الهندسية، وقد أعدّها المهندس شادي بعد دراسة متطلبات المشروع ومقارنة البدائل التقنية، ويمكن تسليمها مباشرة إلى أي فريق برمجي للتنفيذ دون حاجة إلى وثائق إضافية.</w:t>
      </w:r>
    </w:p>
    <w:p>
      <w:pPr>
        <w:bidi w:val="1"/>
        <w:spacing w:before="280" w:after="120"/>
        <w:jc w:val="right"/>
        <w:outlineLvl w:val="0"/>
        <w:pBdr>
          <w:bottom w:val="single" w:sz="6" w:space="2" w:color="1F3B63"/>
        </w:pBdr>
      </w:pPr>
      <w:r>
        <w:rPr>
          <w:rFonts w:ascii="Arial" w:hAnsi="Arial" w:cs="Arial"/>
          <w:b/>
          <w:i w:val="0"/>
          <w:color w:val="1F3B63"/>
          <w:sz w:val="30"/>
          <w:szCs w:val="30"/>
          <w:bCs/>
          <w:rtl/>
        </w:rPr>
        <w:t>2. محتويات الحزمة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HT-README-00 — دليل الحزمة ونظرة عامة (هذه الوثيقة).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HT-SRS-01 — مواصفة متطلبات البرمجيات والمنتج (نسخة Python 3.14.5).</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HT-UX-02 — مواصفة تجربة المستخدم والمشغّلات.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HT-NFR-03 — المتطلبات غير الوظيفية وميزانية الأداء.</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HT-ARCH-04 — المعمارية الفنية وحزمة التقنيات المعتمدة.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HT-DB-05 — مخطط قاعدة البيانات SQLite ومخطط الإعدادات.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HT-API-06 — مواصفة الواجهات الداخلية للمكونات والموديولات.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HT-CODE-07 — معايير الترميز وجودة الكود.</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HT-SETUP-08 — دليل الإعداد والبناء والتوزيع.</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HT-TEST-09 — خطة الاختبار ومصفوفة التتبع.</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HT-ROADMAP-10 — خارطة الطريق والمراحل الزمنية.</w:t>
      </w:r>
    </w:p>
    <w:p>
      <w:pPr>
        <w:bidi w:val="1"/>
        <w:spacing w:before="280" w:after="120"/>
        <w:jc w:val="right"/>
        <w:outlineLvl w:val="0"/>
        <w:pBdr>
          <w:bottom w:val="single" w:sz="6" w:space="2" w:color="1F3B63"/>
        </w:pBdr>
      </w:pPr>
      <w:r>
        <w:rPr>
          <w:rFonts w:ascii="Arial" w:hAnsi="Arial" w:cs="Arial"/>
          <w:b/>
          <w:i w:val="0"/>
          <w:color w:val="1F3B63"/>
          <w:sz w:val="30"/>
          <w:szCs w:val="30"/>
          <w:bCs/>
          <w:rtl/>
        </w:rPr>
        <w:t>3. ملخص القرار التقني الأساسي</w:t>
      </w:r>
    </w:p>
    <w:p>
      <w:pPr>
        <w:bidi w:val="1"/>
        <w:spacing w:after="80" w:line="276" w:lineRule="auto"/>
        <w:jc w:val="both"/>
      </w:pPr>
      <w:r>
        <w:rPr>
          <w:rFonts w:ascii="Arial" w:hAnsi="Arial" w:cs="Arial"/>
          <w:b w:val="0"/>
          <w:i w:val="0"/>
          <w:sz w:val="22"/>
          <w:szCs w:val="22"/>
          <w:rtl/>
        </w:rPr>
        <w:t>اعتُمد Python 3.14.5 (64-bit) كلغة تنفيذ نهائية — وهو إصدار صيانة مستقر صدر في 10 مايو 2026 من سلسلة Python 3.14 الصادرة في 7 أكتوبر 2025 — مع الإطار التالي (التفاصيل الكاملة في HT-ARCH-04):</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واجهة المستخدم وTray: PySide6 (Qt6) — دعم RTL/LTR أصيل، DPI ممتاز، QSystemTrayIcon، وعجلات رسمية لـ Python 3.14.</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مراقبة الإدخال: pynput (hooks منخفضة المستوى للوحة المفاتيح والفأرة).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استخراج النص: واجهة UI Automation عبر comtypes/pywin32، مع الحافظة كمسار بديل.</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OCR المحلي: Windows.Media.OCR عبر واجهات WinRT (حزم winrt/winsdk) — يُتحقق من توفر عجلات Python 3.14 في بوابة G3 مع بديل محلي موثق (Tesseract/pytesseract).</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ترجمة الشبكة: httpx (async) مع tenacity لإعادة المحاولة وقاطع دائرة.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التخزين المؤقت: SQLite (stdlib) + LRU مخصص (10,000 عنصر / 20MB) بوضع WAL.</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الإعدادات والأسرار: ملف JSON في %AppData%، وDPAPI (pywin32) لحماية مفاتيح API.</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إدارة البيئة والاعتماديات: uv أو venv + pip مع requirements lock مثبت الإصدارات.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التوزيع والتثبيت: PyInstaller (مجلد/مثبّت موقّع)، وتحديث عبر قناة موقّعة بتحقق يدوي للحزمة.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التسجيل: Loguru مع فلترة إلزامية لمنع تسجيل محتوى المستخدم.</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جودة الكود: ruff + black + mypy، واختبارات pytest / pytest-qt / pytest-asyncio.</w:t>
      </w:r>
    </w:p>
    <w:p>
      <w:pPr>
        <w:bidi w:val="1"/>
        <w:spacing w:before="280" w:after="120"/>
        <w:jc w:val="right"/>
        <w:outlineLvl w:val="0"/>
        <w:pBdr>
          <w:bottom w:val="single" w:sz="6" w:space="2" w:color="1F3B63"/>
        </w:pBdr>
      </w:pPr>
      <w:r>
        <w:rPr>
          <w:rFonts w:ascii="Arial" w:hAnsi="Arial" w:cs="Arial"/>
          <w:b/>
          <w:i w:val="0"/>
          <w:color w:val="1F3B63"/>
          <w:sz w:val="30"/>
          <w:szCs w:val="30"/>
          <w:bCs/>
          <w:rtl/>
        </w:rPr>
        <w:t>4. حالة الوثائق</w:t>
      </w:r>
    </w:p>
    <w:p>
      <w:pPr>
        <w:bidi w:val="1"/>
        <w:spacing w:after="80" w:line="276" w:lineRule="auto"/>
        <w:jc w:val="both"/>
      </w:pPr>
      <w:r>
        <w:rPr>
          <w:rFonts w:ascii="Arial" w:hAnsi="Arial" w:cs="Arial"/>
          <w:b w:val="0"/>
          <w:i w:val="0"/>
          <w:sz w:val="22"/>
          <w:szCs w:val="22"/>
          <w:rtl/>
        </w:rPr>
        <w:t>هذه الوثائق خط أساس معتمد لبدء التنفيذ الفوري. تبقى بوابات G1–G3 (استخراج النص، المشغّل، المزود/OCR) بوابات تحقق إلزامية قبل الإعلان عن جاهزية الإصدار العام، ولا تعني اعتماد الوثائق أن الأداء أو التوافق قد ثبت عمليًا. أي مكتبة لم تُثبت عجلة Python 3.14 رسمية تعتبر مشروطة بنتيجة البوابات، ويُوثق البديل في G3 عند الحاجة.</w:t>
      </w:r>
    </w:p>
    <w:p>
      <w:pPr>
        <w:bidi w:val="1"/>
        <w:spacing w:before="280" w:after="120"/>
        <w:jc w:val="right"/>
        <w:outlineLvl w:val="0"/>
        <w:pBdr>
          <w:bottom w:val="single" w:sz="6" w:space="2" w:color="1F3B63"/>
        </w:pBdr>
      </w:pPr>
      <w:r>
        <w:rPr>
          <w:rFonts w:ascii="Arial" w:hAnsi="Arial" w:cs="Arial"/>
          <w:b/>
          <w:i w:val="0"/>
          <w:color w:val="1F3B63"/>
          <w:sz w:val="30"/>
          <w:szCs w:val="30"/>
          <w:bCs/>
          <w:rtl/>
        </w:rPr>
        <w:t>5. قرارات مُغلقة في هذه النسخة</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إغلاق مسألة الإصدار: اعتماد Python 3.14.5 نهائيًا (بدلًا من خط الأساس 3.12+ والخلاف السابق حول .NET 8 مقابل .NET 10)، مع الترقية إلى أحدث إصدار أمني من سلسلة 3.14 قبل الإصدار العام إن صدر.</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اعتماد F9 كمشغّل افتراضي، مع بقاء Alt خيارًا تجريبيًا يُقيَّم في بوابة G2.</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اعتماد كاش SQLite محلي بدل الذاكرة فقط، لضمان الاستمرارية بين الجلسات.</w:t>
      </w:r>
    </w:p>
    <w:p>
      <w:pPr>
        <w:bidi w:val="1"/>
        <w:spacing w:after="40" w:line="276" w:lineRule="auto"/>
        <w:jc w:val="right"/>
      </w:pPr>
      <w:r>
        <w:rPr>
          <w:rFonts w:ascii="Arial" w:hAnsi="Arial" w:cs="Arial"/>
          <w:b/>
          <w:i w:val="0"/>
          <w:color w:val="2E5E8C"/>
          <w:sz w:val="22"/>
          <w:szCs w:val="22"/>
          <w:bCs/>
          <w:rtl/>
        </w:rPr>
        <w:t xml:space="preserve">•  </w:t>
      </w:r>
      <w:r>
        <w:rPr>
          <w:rFonts w:ascii="Arial" w:hAnsi="Arial" w:cs="Arial"/>
          <w:b w:val="0"/>
          <w:i w:val="0"/>
          <w:sz w:val="22"/>
          <w:szCs w:val="22"/>
          <w:rtl/>
        </w:rPr>
        <w:t>اعتماد PyInstaller مع توقيع رقمي، وتأجيل أي حل تحديث تلقائي معقد إلى ما بعد الإصدار الأول.</w:t>
      </w:r>
    </w:p>
    <w:p>
      <w:pPr>
        <w:bidi w:val="1"/>
        <w:spacing w:after="80" w:line="276" w:lineRule="auto"/>
        <w:jc w:val="both"/>
      </w:pPr>
      <w:r>
        <w:rPr>
          <w:rFonts w:ascii="Arial" w:hAnsi="Arial" w:cs="Arial"/>
          <w:b w:val="0"/>
          <w:i w:val="0"/>
          <w:sz w:val="22"/>
          <w:szCs w:val="22"/>
          <w:rtl/>
        </w:rPr>
        <w:t>أُعدّت هذه الحزمة بتاريخ 21 أكتوبر 2026، وأي تعديل لاحق يتطلب رقم إصدار جديد وتوثيقًا رسميًا.</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rial" w:hAnsi="Arial" w:cs="Arial"/>
        <w:b w:val="0"/>
        <w:i w:val="0"/>
        <w:color w:val="888888"/>
        <w:sz w:val="18"/>
        <w:szCs w:val="18"/>
        <w:rtl/>
      </w:rPr>
      <w:t>HOVERTRANSLATE — HT-README-00 — الإصدار 3.0 — إعداد: م. شادي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