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Arial" w:hAnsi="Arial" w:cs="Arial"/>
          <w:b/>
          <w:i w:val="0"/>
          <w:color w:val="1F3B63"/>
          <w:sz w:val="60"/>
          <w:szCs w:val="60"/>
          <w:bCs/>
          <w:rtl/>
        </w:rPr>
        <w:t>HOVERTRANSLATE</w:t>
      </w:r>
    </w:p>
    <w:p>
      <w:pPr>
        <w:bidi w:val="1"/>
        <w:jc w:val="center"/>
      </w:pPr>
      <w:r>
        <w:rPr>
          <w:rFonts w:ascii="Arial" w:hAnsi="Arial" w:cs="Arial"/>
          <w:b w:val="0"/>
          <w:i w:val="0"/>
          <w:color w:val="2E5E8C"/>
          <w:sz w:val="28"/>
          <w:szCs w:val="28"/>
          <w:rtl/>
        </w:rPr>
        <w:t>ترجمة فورية بنقرة واحدة — تطبيق Windows بلغة Python</w:t>
      </w:r>
    </w:p>
    <w:p/>
    <w:p>
      <w:pPr>
        <w:bidi w:val="1"/>
        <w:jc w:val="center"/>
      </w:pPr>
      <w:r>
        <w:rPr>
          <w:rFonts w:ascii="Arial" w:hAnsi="Arial" w:cs="Arial"/>
          <w:b/>
          <w:i w:val="0"/>
          <w:sz w:val="40"/>
          <w:szCs w:val="40"/>
          <w:bCs/>
          <w:rtl/>
        </w:rPr>
        <w:t>المتطلبات غير الوظيفية وميزانية الأداء</w:t>
      </w:r>
    </w:p>
    <w:p>
      <w:pPr>
        <w:bidi w:val="1"/>
        <w:jc w:val="center"/>
      </w:pPr>
      <w:r>
        <w:rPr>
          <w:rFonts w:ascii="Arial" w:hAnsi="Arial" w:cs="Arial"/>
          <w:b w:val="0"/>
          <w:i w:val="0"/>
          <w:color w:val="2E5E8C"/>
          <w:sz w:val="24"/>
          <w:szCs w:val="24"/>
          <w:rtl/>
        </w:rPr>
        <w:t>حزمة الوثائق الهندسية المعتمدة — نسخة تنفيذ Python 3.14.5</w:t>
      </w:r>
    </w:p>
    <w:p/>
    <w:p/>
    <w:tbl>
      <w:tblPr>
        <w:tblStyle w:val="TableGrid"/>
        <w:tblW w:type="auto" w:w="0"/>
        <w:tblLook w:firstColumn="1" w:firstRow="1" w:lastColumn="0" w:lastRow="0" w:noHBand="0" w:noVBand="1" w:val="04A0"/>
        <w:bidiVisual/>
      </w:tblPr>
      <w:tblGrid>
        <w:gridCol w:w="4706"/>
        <w:gridCol w:w="4706"/>
      </w:tblGrid>
      <w:tr>
        <w:tc>
          <w:tcPr>
            <w:tcW w:type="dxa" w:w="4706"/>
            <w:shd w:val="clear" w:fill="E3EAF3"/>
          </w:tcPr>
          <w:p>
            <w:pPr>
              <w:bidi w:val="1"/>
              <w:jc w:val="center"/>
            </w:pPr>
            <w:r>
              <w:rPr>
                <w:rFonts w:ascii="Arial" w:hAnsi="Arial" w:cs="Arial"/>
                <w:b/>
                <w:i w:val="0"/>
                <w:color w:val="1F3B63"/>
                <w:sz w:val="21"/>
                <w:szCs w:val="21"/>
                <w:bCs/>
                <w:rtl/>
              </w:rPr>
              <w:t>البند</w:t>
            </w:r>
          </w:p>
        </w:tc>
        <w:tc>
          <w:tcPr>
            <w:tcW w:type="dxa" w:w="4706"/>
            <w:shd w:val="clear" w:fill="E3EAF3"/>
          </w:tcPr>
          <w:p>
            <w:pPr>
              <w:bidi w:val="1"/>
              <w:jc w:val="center"/>
            </w:pPr>
            <w:r>
              <w:rPr>
                <w:rFonts w:ascii="Arial" w:hAnsi="Arial" w:cs="Arial"/>
                <w:b/>
                <w:i w:val="0"/>
                <w:color w:val="1F3B63"/>
                <w:sz w:val="21"/>
                <w:szCs w:val="21"/>
                <w:bCs/>
                <w:rtl/>
              </w:rPr>
              <w:t>القيمة</w:t>
            </w:r>
          </w:p>
        </w:tc>
      </w:tr>
      <w:tr>
        <w:tc>
          <w:tcPr>
            <w:tcW w:type="dxa" w:w="4706"/>
          </w:tcPr>
          <w:p>
            <w:pPr>
              <w:bidi w:val="1"/>
              <w:jc w:val="right"/>
            </w:pPr>
            <w:r>
              <w:rPr>
                <w:rFonts w:ascii="Arial" w:hAnsi="Arial" w:cs="Arial"/>
                <w:b w:val="0"/>
                <w:i w:val="0"/>
                <w:sz w:val="21"/>
                <w:szCs w:val="21"/>
                <w:rtl/>
              </w:rPr>
              <w:t>رمز الوثيقة</w:t>
            </w:r>
          </w:p>
        </w:tc>
        <w:tc>
          <w:tcPr>
            <w:tcW w:type="dxa" w:w="4706"/>
          </w:tcPr>
          <w:p>
            <w:pPr>
              <w:bidi w:val="1"/>
              <w:jc w:val="right"/>
            </w:pPr>
            <w:r>
              <w:rPr>
                <w:rFonts w:ascii="Arial" w:hAnsi="Arial" w:cs="Arial"/>
                <w:b w:val="0"/>
                <w:i w:val="0"/>
                <w:sz w:val="21"/>
                <w:szCs w:val="21"/>
                <w:rtl/>
              </w:rPr>
              <w:t>HT-NFR-03</w:t>
            </w:r>
          </w:p>
        </w:tc>
      </w:tr>
      <w:tr>
        <w:tc>
          <w:tcPr>
            <w:tcW w:type="dxa" w:w="4706"/>
          </w:tcPr>
          <w:p>
            <w:pPr>
              <w:bidi w:val="1"/>
              <w:jc w:val="right"/>
            </w:pPr>
            <w:r>
              <w:rPr>
                <w:rFonts w:ascii="Arial" w:hAnsi="Arial" w:cs="Arial"/>
                <w:b w:val="0"/>
                <w:i w:val="0"/>
                <w:sz w:val="21"/>
                <w:szCs w:val="21"/>
                <w:rtl/>
              </w:rPr>
              <w:t>الإصدار</w:t>
            </w:r>
          </w:p>
        </w:tc>
        <w:tc>
          <w:tcPr>
            <w:tcW w:type="dxa" w:w="4706"/>
          </w:tcPr>
          <w:p>
            <w:pPr>
              <w:bidi w:val="1"/>
              <w:jc w:val="right"/>
            </w:pPr>
            <w:r>
              <w:rPr>
                <w:rFonts w:ascii="Arial" w:hAnsi="Arial" w:cs="Arial"/>
                <w:b w:val="0"/>
                <w:i w:val="0"/>
                <w:sz w:val="21"/>
                <w:szCs w:val="21"/>
                <w:rtl/>
              </w:rPr>
              <w:t>3.0 — نسخة Python 3.14.5 المعتمدة</w:t>
            </w:r>
          </w:p>
        </w:tc>
      </w:tr>
      <w:tr>
        <w:tc>
          <w:tcPr>
            <w:tcW w:type="dxa" w:w="4706"/>
          </w:tcPr>
          <w:p>
            <w:pPr>
              <w:bidi w:val="1"/>
              <w:jc w:val="right"/>
            </w:pPr>
            <w:r>
              <w:rPr>
                <w:rFonts w:ascii="Arial" w:hAnsi="Arial" w:cs="Arial"/>
                <w:b w:val="0"/>
                <w:i w:val="0"/>
                <w:sz w:val="21"/>
                <w:szCs w:val="21"/>
                <w:rtl/>
              </w:rPr>
              <w:t>الحالة</w:t>
            </w:r>
          </w:p>
        </w:tc>
        <w:tc>
          <w:tcPr>
            <w:tcW w:type="dxa" w:w="4706"/>
          </w:tcPr>
          <w:p>
            <w:pPr>
              <w:bidi w:val="1"/>
              <w:jc w:val="right"/>
            </w:pPr>
            <w:r>
              <w:rPr>
                <w:rFonts w:ascii="Arial" w:hAnsi="Arial" w:cs="Arial"/>
                <w:b w:val="0"/>
                <w:i w:val="0"/>
                <w:sz w:val="21"/>
                <w:szCs w:val="21"/>
                <w:rtl/>
              </w:rPr>
              <w:t>أهداف أولية، غير مثبتة قبل القياس</w:t>
            </w:r>
          </w:p>
        </w:tc>
      </w:tr>
      <w:tr>
        <w:tc>
          <w:tcPr>
            <w:tcW w:type="dxa" w:w="4706"/>
          </w:tcPr>
          <w:p>
            <w:pPr>
              <w:bidi w:val="1"/>
              <w:jc w:val="right"/>
            </w:pPr>
            <w:r>
              <w:rPr>
                <w:rFonts w:ascii="Arial" w:hAnsi="Arial" w:cs="Arial"/>
                <w:b w:val="0"/>
                <w:i w:val="0"/>
                <w:sz w:val="21"/>
                <w:szCs w:val="21"/>
                <w:rtl/>
              </w:rPr>
              <w:t>المُعدّ / المالك</w:t>
            </w:r>
          </w:p>
        </w:tc>
        <w:tc>
          <w:tcPr>
            <w:tcW w:type="dxa" w:w="4706"/>
          </w:tcPr>
          <w:p>
            <w:pPr>
              <w:bidi w:val="1"/>
              <w:jc w:val="right"/>
            </w:pPr>
            <w:r>
              <w:rPr>
                <w:rFonts w:ascii="Arial" w:hAnsi="Arial" w:cs="Arial"/>
                <w:b w:val="0"/>
                <w:i w:val="0"/>
                <w:sz w:val="21"/>
                <w:szCs w:val="21"/>
                <w:rtl/>
              </w:rPr>
              <w:t>المهندس شادي</w:t>
            </w:r>
          </w:p>
        </w:tc>
      </w:tr>
      <w:tr>
        <w:tc>
          <w:tcPr>
            <w:tcW w:type="dxa" w:w="4706"/>
          </w:tcPr>
          <w:p>
            <w:pPr>
              <w:bidi w:val="1"/>
              <w:jc w:val="right"/>
            </w:pPr>
            <w:r>
              <w:rPr>
                <w:rFonts w:ascii="Arial" w:hAnsi="Arial" w:cs="Arial"/>
                <w:b w:val="0"/>
                <w:i w:val="0"/>
                <w:sz w:val="21"/>
                <w:szCs w:val="21"/>
                <w:rtl/>
              </w:rPr>
              <w:t>تاريخ الإعداد</w:t>
            </w:r>
          </w:p>
        </w:tc>
        <w:tc>
          <w:tcPr>
            <w:tcW w:type="dxa" w:w="4706"/>
          </w:tcPr>
          <w:p>
            <w:pPr>
              <w:bidi w:val="1"/>
              <w:jc w:val="right"/>
            </w:pPr>
            <w:r>
              <w:rPr>
                <w:rFonts w:ascii="Arial" w:hAnsi="Arial" w:cs="Arial"/>
                <w:b w:val="0"/>
                <w:i w:val="0"/>
                <w:sz w:val="21"/>
                <w:szCs w:val="21"/>
                <w:rtl/>
              </w:rPr>
              <w:t>21 أكتوبر 2026</w:t>
            </w:r>
          </w:p>
        </w:tc>
      </w:tr>
    </w:tbl>
    <w:p>
      <w:pPr>
        <w:spacing w:after="40"/>
      </w:pPr>
    </w:p>
    <w:p/>
    <w:p/>
    <w:p>
      <w:pPr>
        <w:bidi w:val="1"/>
        <w:jc w:val="center"/>
      </w:pPr>
      <w:r>
        <w:rPr>
          <w:rFonts w:ascii="Arial" w:hAnsi="Arial" w:cs="Arial"/>
          <w:b/>
          <w:i w:val="0"/>
          <w:color w:val="1F3B63"/>
          <w:sz w:val="32"/>
          <w:szCs w:val="32"/>
          <w:bCs/>
          <w:rtl/>
        </w:rPr>
        <w:t>إعداد: م. شادي</w:t>
      </w:r>
    </w:p>
    <w:p>
      <w:r>
        <w:br w:type="page"/>
      </w:r>
    </w:p>
    <w:p>
      <w:pPr>
        <w:bidi w:val="1"/>
        <w:spacing w:before="280" w:after="120"/>
        <w:jc w:val="right"/>
        <w:outlineLvl w:val="0"/>
        <w:pBdr>
          <w:bottom w:val="single" w:sz="6" w:space="2" w:color="1F3B63"/>
        </w:pBdr>
      </w:pPr>
      <w:r>
        <w:rPr>
          <w:rFonts w:ascii="Arial" w:hAnsi="Arial" w:cs="Arial"/>
          <w:b/>
          <w:i w:val="0"/>
          <w:color w:val="1F3B63"/>
          <w:sz w:val="30"/>
          <w:szCs w:val="30"/>
          <w:bCs/>
          <w:rtl/>
        </w:rPr>
        <w:t>الفهرس</w:t>
      </w:r>
    </w:p>
    <w:p>
      <w:pPr>
        <w:bidi w:val="1"/>
        <w:jc w:val="right"/>
      </w:pPr>
      <w:r>
        <w:rPr>
          <w:rFonts w:ascii="Arial" w:hAnsi="Arial" w:cs="Arial"/>
          <w:b/>
          <w:i w:val="0"/>
          <w:sz w:val="22"/>
          <w:szCs w:val="22"/>
          <w:bCs/>
          <w:rtl/>
        </w:rPr>
        <w:t>1. مبدأ عام</w:t>
      </w:r>
    </w:p>
    <w:p>
      <w:pPr>
        <w:bidi w:val="1"/>
        <w:jc w:val="right"/>
      </w:pPr>
      <w:r>
        <w:rPr>
          <w:rFonts w:ascii="Arial" w:hAnsi="Arial" w:cs="Arial"/>
          <w:b/>
          <w:i w:val="0"/>
          <w:sz w:val="22"/>
          <w:szCs w:val="22"/>
          <w:bCs/>
          <w:rtl/>
        </w:rPr>
        <w:t>2. ميزانية الأداء الأولية</w:t>
      </w:r>
    </w:p>
    <w:p>
      <w:pPr>
        <w:bidi w:val="1"/>
        <w:jc w:val="right"/>
      </w:pPr>
      <w:r>
        <w:rPr>
          <w:rFonts w:ascii="Arial" w:hAnsi="Arial" w:cs="Arial"/>
          <w:b/>
          <w:i w:val="0"/>
          <w:sz w:val="22"/>
          <w:szCs w:val="22"/>
          <w:bCs/>
          <w:rtl/>
        </w:rPr>
        <w:t>3. تعريف القياس</w:t>
      </w:r>
    </w:p>
    <w:p>
      <w:pPr>
        <w:bidi w:val="1"/>
        <w:jc w:val="right"/>
      </w:pPr>
      <w:r>
        <w:rPr>
          <w:rFonts w:ascii="Arial" w:hAnsi="Arial" w:cs="Arial"/>
          <w:b/>
          <w:i w:val="0"/>
          <w:sz w:val="22"/>
          <w:szCs w:val="22"/>
          <w:bCs/>
          <w:rtl/>
        </w:rPr>
        <w:t>4. الجهاز المرجعي المقترح</w:t>
      </w:r>
    </w:p>
    <w:p>
      <w:pPr>
        <w:bidi w:val="1"/>
        <w:jc w:val="right"/>
      </w:pPr>
      <w:r>
        <w:rPr>
          <w:rFonts w:ascii="Arial" w:hAnsi="Arial" w:cs="Arial"/>
          <w:b/>
          <w:i w:val="0"/>
          <w:sz w:val="22"/>
          <w:szCs w:val="22"/>
          <w:bCs/>
          <w:rtl/>
        </w:rPr>
        <w:t>5. بيئة منخفضة المواصفات</w:t>
      </w:r>
    </w:p>
    <w:p>
      <w:pPr>
        <w:bidi w:val="1"/>
        <w:jc w:val="right"/>
      </w:pPr>
      <w:r>
        <w:rPr>
          <w:rFonts w:ascii="Arial" w:hAnsi="Arial" w:cs="Arial"/>
          <w:b/>
          <w:i w:val="0"/>
          <w:sz w:val="22"/>
          <w:szCs w:val="22"/>
          <w:bCs/>
          <w:rtl/>
        </w:rPr>
        <w:t>6. الأمان والخصوصية</w:t>
      </w:r>
    </w:p>
    <w:p>
      <w:pPr>
        <w:bidi w:val="1"/>
        <w:jc w:val="right"/>
      </w:pPr>
      <w:r>
        <w:rPr>
          <w:rFonts w:ascii="Arial" w:hAnsi="Arial" w:cs="Arial"/>
          <w:b/>
          <w:i w:val="0"/>
          <w:sz w:val="22"/>
          <w:szCs w:val="22"/>
          <w:bCs/>
          <w:rtl/>
        </w:rPr>
        <w:t>7. التوافق</w:t>
      </w:r>
    </w:p>
    <w:p>
      <w:pPr>
        <w:bidi w:val="1"/>
        <w:jc w:val="right"/>
      </w:pPr>
      <w:r>
        <w:rPr>
          <w:rFonts w:ascii="Arial" w:hAnsi="Arial" w:cs="Arial"/>
          <w:b/>
          <w:i w:val="0"/>
          <w:sz w:val="22"/>
          <w:szCs w:val="22"/>
          <w:bCs/>
          <w:rtl/>
        </w:rPr>
        <w:t>8. الاستقرار والموثوقية</w:t>
      </w:r>
    </w:p>
    <w:p>
      <w:pPr>
        <w:bidi w:val="1"/>
        <w:jc w:val="right"/>
      </w:pPr>
      <w:r>
        <w:rPr>
          <w:rFonts w:ascii="Arial" w:hAnsi="Arial" w:cs="Arial"/>
          <w:b/>
          <w:i w:val="0"/>
          <w:sz w:val="22"/>
          <w:szCs w:val="22"/>
          <w:bCs/>
          <w:rtl/>
        </w:rPr>
        <w:t>9. القبول والتنازلات</w:t>
      </w:r>
    </w:p>
    <w:p>
      <w:r>
        <w:br w:type="page"/>
      </w:r>
    </w:p>
    <w:tbl>
      <w:tblPr>
        <w:tblStyle w:val="TableGrid"/>
        <w:tblW w:type="auto" w:w="0"/>
        <w:tblLook w:firstColumn="1" w:firstRow="1" w:lastColumn="0" w:lastRow="0" w:noHBand="0" w:noVBand="1" w:val="04A0"/>
        <w:bidiVisual/>
      </w:tblPr>
      <w:tblGrid>
        <w:gridCol w:w="2353"/>
        <w:gridCol w:w="2353"/>
        <w:gridCol w:w="2353"/>
        <w:gridCol w:w="2353"/>
      </w:tblGrid>
      <w:tr>
        <w:tc>
          <w:tcPr>
            <w:tcW w:type="dxa" w:w="2353"/>
            <w:shd w:val="clear" w:fill="E3EAF3"/>
          </w:tcPr>
          <w:p>
            <w:pPr>
              <w:bidi w:val="1"/>
              <w:jc w:val="center"/>
            </w:pPr>
            <w:r>
              <w:rPr>
                <w:rFonts w:ascii="Arial" w:hAnsi="Arial" w:cs="Arial"/>
                <w:b/>
                <w:i w:val="0"/>
                <w:color w:val="1F3B63"/>
                <w:sz w:val="21"/>
                <w:szCs w:val="21"/>
                <w:bCs/>
                <w:rtl/>
              </w:rPr>
              <w:t>رمز الوثيقة</w:t>
            </w:r>
          </w:p>
        </w:tc>
        <w:tc>
          <w:tcPr>
            <w:tcW w:type="dxa" w:w="2353"/>
            <w:shd w:val="clear" w:fill="E3EAF3"/>
          </w:tcPr>
          <w:p>
            <w:pPr>
              <w:bidi w:val="1"/>
              <w:jc w:val="center"/>
            </w:pPr>
            <w:r>
              <w:rPr>
                <w:rFonts w:ascii="Arial" w:hAnsi="Arial" w:cs="Arial"/>
                <w:b/>
                <w:i w:val="0"/>
                <w:color w:val="1F3B63"/>
                <w:sz w:val="21"/>
                <w:szCs w:val="21"/>
                <w:bCs/>
                <w:rtl/>
              </w:rPr>
              <w:t>الإصدار</w:t>
            </w:r>
          </w:p>
        </w:tc>
        <w:tc>
          <w:tcPr>
            <w:tcW w:type="dxa" w:w="2353"/>
            <w:shd w:val="clear" w:fill="E3EAF3"/>
          </w:tcPr>
          <w:p>
            <w:pPr>
              <w:bidi w:val="1"/>
              <w:jc w:val="center"/>
            </w:pPr>
            <w:r>
              <w:rPr>
                <w:rFonts w:ascii="Arial" w:hAnsi="Arial" w:cs="Arial"/>
                <w:b/>
                <w:i w:val="0"/>
                <w:color w:val="1F3B63"/>
                <w:sz w:val="21"/>
                <w:szCs w:val="21"/>
                <w:bCs/>
                <w:rtl/>
              </w:rPr>
              <w:t>الحالة</w:t>
            </w:r>
          </w:p>
        </w:tc>
        <w:tc>
          <w:tcPr>
            <w:tcW w:type="dxa" w:w="2353"/>
            <w:shd w:val="clear" w:fill="E3EAF3"/>
          </w:tcPr>
          <w:p>
            <w:pPr>
              <w:bidi w:val="1"/>
              <w:jc w:val="center"/>
            </w:pPr>
            <w:r>
              <w:rPr>
                <w:rFonts w:ascii="Arial" w:hAnsi="Arial" w:cs="Arial"/>
                <w:b/>
                <w:i w:val="0"/>
                <w:color w:val="1F3B63"/>
                <w:sz w:val="21"/>
                <w:szCs w:val="21"/>
                <w:bCs/>
                <w:rtl/>
              </w:rPr>
              <w:t>المُعدّ / المالك</w:t>
            </w:r>
          </w:p>
        </w:tc>
      </w:tr>
      <w:tr>
        <w:tc>
          <w:tcPr>
            <w:tcW w:type="dxa" w:w="2353"/>
          </w:tcPr>
          <w:p>
            <w:pPr>
              <w:bidi w:val="1"/>
              <w:jc w:val="right"/>
            </w:pPr>
            <w:r>
              <w:rPr>
                <w:rFonts w:ascii="Arial" w:hAnsi="Arial" w:cs="Arial"/>
                <w:b w:val="0"/>
                <w:i w:val="0"/>
                <w:sz w:val="21"/>
                <w:szCs w:val="21"/>
                <w:rtl/>
              </w:rPr>
              <w:t>HT-NFR-03</w:t>
            </w:r>
          </w:p>
        </w:tc>
        <w:tc>
          <w:tcPr>
            <w:tcW w:type="dxa" w:w="2353"/>
          </w:tcPr>
          <w:p>
            <w:pPr>
              <w:bidi w:val="1"/>
              <w:jc w:val="right"/>
            </w:pPr>
            <w:r>
              <w:rPr>
                <w:rFonts w:ascii="Arial" w:hAnsi="Arial" w:cs="Arial"/>
                <w:b w:val="0"/>
                <w:i w:val="0"/>
                <w:sz w:val="21"/>
                <w:szCs w:val="21"/>
                <w:rtl/>
              </w:rPr>
              <w:t>3.0</w:t>
            </w:r>
          </w:p>
        </w:tc>
        <w:tc>
          <w:tcPr>
            <w:tcW w:type="dxa" w:w="2353"/>
          </w:tcPr>
          <w:p>
            <w:pPr>
              <w:bidi w:val="1"/>
              <w:jc w:val="right"/>
            </w:pPr>
            <w:r>
              <w:rPr>
                <w:rFonts w:ascii="Arial" w:hAnsi="Arial" w:cs="Arial"/>
                <w:b w:val="0"/>
                <w:i w:val="0"/>
                <w:sz w:val="21"/>
                <w:szCs w:val="21"/>
                <w:rtl/>
              </w:rPr>
              <w:t>أهداف أولية، غير مثبتة قبل القياس</w:t>
            </w:r>
          </w:p>
        </w:tc>
        <w:tc>
          <w:tcPr>
            <w:tcW w:type="dxa" w:w="2353"/>
          </w:tcPr>
          <w:p>
            <w:pPr>
              <w:bidi w:val="1"/>
              <w:jc w:val="right"/>
            </w:pPr>
            <w:r>
              <w:rPr>
                <w:rFonts w:ascii="Arial" w:hAnsi="Arial" w:cs="Arial"/>
                <w:b w:val="0"/>
                <w:i w:val="0"/>
                <w:sz w:val="21"/>
                <w:szCs w:val="21"/>
                <w:rtl/>
              </w:rPr>
              <w:t>المهندس شادي</w:t>
            </w:r>
          </w:p>
        </w:tc>
      </w:tr>
    </w:tbl>
    <w:p>
      <w:pPr>
        <w:spacing w:after="40"/>
      </w:pPr>
    </w:p>
    <w:p>
      <w:pPr>
        <w:bidi w:val="1"/>
        <w:spacing w:before="280" w:after="120"/>
        <w:jc w:val="right"/>
        <w:outlineLvl w:val="0"/>
        <w:pBdr>
          <w:bottom w:val="single" w:sz="6" w:space="2" w:color="1F3B63"/>
        </w:pBdr>
      </w:pPr>
      <w:r>
        <w:rPr>
          <w:rFonts w:ascii="Arial" w:hAnsi="Arial" w:cs="Arial"/>
          <w:b/>
          <w:i w:val="0"/>
          <w:color w:val="1F3B63"/>
          <w:sz w:val="30"/>
          <w:szCs w:val="30"/>
          <w:bCs/>
          <w:rtl/>
        </w:rPr>
        <w:t>1. مبدأ عام</w:t>
      </w:r>
    </w:p>
    <w:p>
      <w:pPr>
        <w:bidi w:val="1"/>
        <w:spacing w:after="80" w:line="276" w:lineRule="auto"/>
        <w:jc w:val="both"/>
      </w:pPr>
      <w:r>
        <w:rPr>
          <w:rFonts w:ascii="Arial" w:hAnsi="Arial" w:cs="Arial"/>
          <w:b w:val="0"/>
          <w:i w:val="0"/>
          <w:sz w:val="22"/>
          <w:szCs w:val="22"/>
          <w:rtl/>
        </w:rPr>
        <w:t>القيم الواردة هنا أهداف أولية. لا يجوز وصفها بأنها محققة قبل اختبار موثق على جهاز مرجعي، مع فصل زمن المعالجة المحلية عن الشبكة والمزود. إزاحة الأداء المتوقعة من Python 3.14 مقابل اللغات المُجمَّعة تُعالج بالقياس لا بالافتراض؛ يوفر Python 3.14 تحسينات تشغيل مجاني (free-threading تجريبي وJIT تجريبي) لكن لا يُبنى أي هدف على تلك الخصائص قبل قياسها.</w:t>
      </w:r>
    </w:p>
    <w:p>
      <w:pPr>
        <w:bidi w:val="1"/>
        <w:spacing w:before="280" w:after="120"/>
        <w:jc w:val="right"/>
        <w:outlineLvl w:val="0"/>
        <w:pBdr>
          <w:bottom w:val="single" w:sz="6" w:space="2" w:color="1F3B63"/>
        </w:pBdr>
      </w:pPr>
      <w:r>
        <w:rPr>
          <w:rFonts w:ascii="Arial" w:hAnsi="Arial" w:cs="Arial"/>
          <w:b/>
          <w:i w:val="0"/>
          <w:color w:val="1F3B63"/>
          <w:sz w:val="30"/>
          <w:szCs w:val="30"/>
          <w:bCs/>
          <w:rtl/>
        </w:rPr>
        <w:t>2. ميزانية الأداء الأولية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استجابة الكاش (SQLite): ≤100ms هدف أولي.</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OCR المحلي: ≤100ms هدف أولي يحتاج إثباتًا عمليًا، وليس شرطًا مفترض التحقق.</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Fade-in للنافذة: ≤100ms.</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إظهار خطأ انقطاع الشبكة: ≤600ms في الحالات التي يمكن فيها اكتشاف الانقطاع سريعًا.</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إيقاف/تعليق المراقبة: ≤200ms.</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ذاكرة الكاش على القرص: ≤20MB و10,000 عنصر.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تحديث كلمة من الكاش: ≤300ms.</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البصمة الذاكرية للتطبيق وهو خامل: هدف أولي ≤150MB (قياس PySide6 عمليًا على Python 3.14.5).</w:t>
      </w:r>
    </w:p>
    <w:p>
      <w:pPr>
        <w:bidi w:val="1"/>
        <w:spacing w:before="280" w:after="120"/>
        <w:jc w:val="right"/>
        <w:outlineLvl w:val="0"/>
        <w:pBdr>
          <w:bottom w:val="single" w:sz="6" w:space="2" w:color="1F3B63"/>
        </w:pBdr>
      </w:pPr>
      <w:r>
        <w:rPr>
          <w:rFonts w:ascii="Arial" w:hAnsi="Arial" w:cs="Arial"/>
          <w:b/>
          <w:i w:val="0"/>
          <w:color w:val="1F3B63"/>
          <w:sz w:val="30"/>
          <w:szCs w:val="30"/>
          <w:bCs/>
          <w:rtl/>
        </w:rPr>
        <w:t>3. تعريف القياس</w:t>
      </w:r>
    </w:p>
    <w:p>
      <w:pPr>
        <w:bidi w:val="1"/>
        <w:spacing w:after="80" w:line="276" w:lineRule="auto"/>
        <w:jc w:val="both"/>
      </w:pPr>
      <w:r>
        <w:rPr>
          <w:rFonts w:ascii="Arial" w:hAnsi="Arial" w:cs="Arial"/>
          <w:b w:val="0"/>
          <w:i w:val="0"/>
          <w:sz w:val="22"/>
          <w:szCs w:val="22"/>
          <w:rtl/>
        </w:rPr>
        <w:t>يُقاس كل مسار منفصلًا: (A) استخراج النص المحلي (UIA/الحافظة)، (B) OCR المحلي، (C) استرجاع الكاش من SQLite، (D) طلب الترجمة عبر الشبكة (httpx)، (E) زمن دورة كاملة من بدء التفاعل إلى عرض النتيجة.</w:t>
      </w:r>
    </w:p>
    <w:p>
      <w:pPr>
        <w:bidi w:val="1"/>
        <w:spacing w:after="80" w:line="276" w:lineRule="auto"/>
        <w:jc w:val="both"/>
      </w:pPr>
      <w:r>
        <w:rPr>
          <w:rFonts w:ascii="Arial" w:hAnsi="Arial" w:cs="Arial"/>
          <w:b w:val="0"/>
          <w:i w:val="0"/>
          <w:sz w:val="22"/>
          <w:szCs w:val="22"/>
          <w:rtl/>
        </w:rPr>
        <w:t>يُسجل P50 وP95 وP99 لكل مسار مع توثيق: حالة الكاش (بارد/دافئ)، طول النص، إصدار التطبيق والتطبيق المضيف، إصدار Python الدقيق (3.14.5) ورقم بناء Windows وحالة الشبكة والمزود. 200 تشغيل حد أدنى للتجربة الأولية، مع زيادة العينات وتكرار الجلسات للمسارات الحرجة قبل اعتماد P99 رسميًا.</w:t>
      </w:r>
    </w:p>
    <w:p>
      <w:pPr>
        <w:bidi w:val="1"/>
        <w:spacing w:before="280" w:after="120"/>
        <w:jc w:val="right"/>
        <w:outlineLvl w:val="0"/>
        <w:pBdr>
          <w:bottom w:val="single" w:sz="6" w:space="2" w:color="1F3B63"/>
        </w:pBdr>
      </w:pPr>
      <w:r>
        <w:rPr>
          <w:rFonts w:ascii="Arial" w:hAnsi="Arial" w:cs="Arial"/>
          <w:b/>
          <w:i w:val="0"/>
          <w:color w:val="1F3B63"/>
          <w:sz w:val="30"/>
          <w:szCs w:val="30"/>
          <w:bCs/>
          <w:rtl/>
        </w:rPr>
        <w:t>4. الجهاز المرجعي المقترح</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معالج رباعي النواة، ذاكرة RAM 8GB.</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Windows 11 بإصدار مدعوم أمنيًا (يُسجل رقم البناء وقت التنفيذ).</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دقة 1920×1080 عند 100%، وشاشة ثانية عند 150% DPI عند توفرها.</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Python 3.14.5 64-bit، وتُثبت قائمة الاعتماديات بإصداراتها المقفلة (requirements lock / uv.lock).</w:t>
      </w:r>
    </w:p>
    <w:p>
      <w:pPr>
        <w:bidi w:val="1"/>
        <w:spacing w:before="280" w:after="120"/>
        <w:jc w:val="right"/>
        <w:outlineLvl w:val="0"/>
        <w:pBdr>
          <w:bottom w:val="single" w:sz="6" w:space="2" w:color="1F3B63"/>
        </w:pBdr>
      </w:pPr>
      <w:r>
        <w:rPr>
          <w:rFonts w:ascii="Arial" w:hAnsi="Arial" w:cs="Arial"/>
          <w:b/>
          <w:i w:val="0"/>
          <w:color w:val="1F3B63"/>
          <w:sz w:val="30"/>
          <w:szCs w:val="30"/>
          <w:bCs/>
          <w:rtl/>
        </w:rPr>
        <w:t>5. بيئة منخفضة المواصفات</w:t>
      </w:r>
    </w:p>
    <w:p>
      <w:pPr>
        <w:bidi w:val="1"/>
        <w:spacing w:after="80" w:line="276" w:lineRule="auto"/>
        <w:jc w:val="both"/>
      </w:pPr>
      <w:r>
        <w:rPr>
          <w:rFonts w:ascii="Arial" w:hAnsi="Arial" w:cs="Arial"/>
          <w:b w:val="0"/>
          <w:i w:val="0"/>
          <w:sz w:val="22"/>
          <w:szCs w:val="22"/>
          <w:rtl/>
        </w:rPr>
        <w:t>معالج ثنائي النواة، RAM 4GB، اختبار شبكة بطيئة ومتقطعة، وشاشتان بإعدادات DPI مختلفة حيث تتوفر.</w:t>
      </w:r>
    </w:p>
    <w:p>
      <w:pPr>
        <w:bidi w:val="1"/>
        <w:spacing w:before="280" w:after="120"/>
        <w:jc w:val="right"/>
        <w:outlineLvl w:val="0"/>
        <w:pBdr>
          <w:bottom w:val="single" w:sz="6" w:space="2" w:color="1F3B63"/>
        </w:pBdr>
      </w:pPr>
      <w:r>
        <w:rPr>
          <w:rFonts w:ascii="Arial" w:hAnsi="Arial" w:cs="Arial"/>
          <w:b/>
          <w:i w:val="0"/>
          <w:color w:val="1F3B63"/>
          <w:sz w:val="30"/>
          <w:szCs w:val="30"/>
          <w:bCs/>
          <w:rtl/>
        </w:rPr>
        <w:t>6. الأمان والخصوصية</w:t>
      </w:r>
    </w:p>
    <w:p>
      <w:pPr>
        <w:bidi w:val="1"/>
        <w:spacing w:after="80" w:line="276" w:lineRule="auto"/>
        <w:jc w:val="both"/>
      </w:pPr>
      <w:r>
        <w:rPr>
          <w:rFonts w:ascii="Arial" w:hAnsi="Arial" w:cs="Arial"/>
          <w:b w:val="0"/>
          <w:i w:val="0"/>
          <w:sz w:val="22"/>
          <w:szCs w:val="22"/>
          <w:rtl/>
        </w:rPr>
        <w:t>NFR-A01 — عدم تسجيل محتوى المستخدم: لا تُسجَّل النصوص المحددة أو الترجمات أو الصور أو مفاتيح API في سجلات Loguru أو تقارير الأعطال. يُطبَّق فلتر تلقائي يمنع أي حقل محتوى قبل الكتابة.</w:t>
      </w:r>
    </w:p>
    <w:p>
      <w:pPr>
        <w:bidi w:val="1"/>
        <w:spacing w:after="80" w:line="276" w:lineRule="auto"/>
        <w:jc w:val="both"/>
      </w:pPr>
      <w:r>
        <w:rPr>
          <w:rFonts w:ascii="Arial" w:hAnsi="Arial" w:cs="Arial"/>
          <w:b w:val="0"/>
          <w:i w:val="0"/>
          <w:sz w:val="22"/>
          <w:szCs w:val="22"/>
          <w:rtl/>
        </w:rPr>
        <w:t>NFR-A02 — حماية الأسرار: مفاتيح API تُحمى بـ DPAPI CurrentUser عبر CryptProtectData (pywin32)، ولا تُحفظ نصًا واضحًا في ملف الإعدادات.</w:t>
      </w:r>
    </w:p>
    <w:p>
      <w:pPr>
        <w:bidi w:val="1"/>
        <w:spacing w:after="80" w:line="276" w:lineRule="auto"/>
        <w:jc w:val="both"/>
      </w:pPr>
      <w:r>
        <w:rPr>
          <w:rFonts w:ascii="Arial" w:hAnsi="Arial" w:cs="Arial"/>
          <w:b w:val="0"/>
          <w:i w:val="0"/>
          <w:sz w:val="22"/>
          <w:szCs w:val="22"/>
          <w:rtl/>
        </w:rPr>
        <w:t>NFR-A03 — النقل الآمن: HTTPS مع تحقق TLS إلزامي عبر httpx الافتراضي؛ يُمنع تعطيل التحقق من الشهادات.</w:t>
      </w:r>
    </w:p>
    <w:p>
      <w:pPr>
        <w:bidi w:val="1"/>
        <w:spacing w:after="80" w:line="276" w:lineRule="auto"/>
        <w:jc w:val="both"/>
      </w:pPr>
      <w:r>
        <w:rPr>
          <w:rFonts w:ascii="Arial" w:hAnsi="Arial" w:cs="Arial"/>
          <w:b w:val="0"/>
          <w:i w:val="0"/>
          <w:sz w:val="22"/>
          <w:szCs w:val="22"/>
          <w:rtl/>
        </w:rPr>
        <w:t>NFR-A04 — تقارير الأعطال: Opt-in فقط، ويُوثق محتوى التقرير قبل الإرسال، ولا إرسال قبل الموافقة الصريحة.</w:t>
      </w:r>
    </w:p>
    <w:p>
      <w:pPr>
        <w:bidi w:val="1"/>
        <w:spacing w:after="80" w:line="276" w:lineRule="auto"/>
        <w:jc w:val="both"/>
      </w:pPr>
      <w:r>
        <w:rPr>
          <w:rFonts w:ascii="Arial" w:hAnsi="Arial" w:cs="Arial"/>
          <w:b w:val="0"/>
          <w:i w:val="0"/>
          <w:sz w:val="22"/>
          <w:szCs w:val="22"/>
          <w:rtl/>
        </w:rPr>
        <w:t>NFR-A05 — تثبيت وتحديث آمنان: توقيع رقمي لحزمة PyInstaller والتحقق من مصدرها وسلامتها. تُوثَّق إدارة مفاتيح التوقيع والاستجابة لانتهاء الشهادة. التحديث التلقائي يُرحَّل للإصدار الثاني مع خطة موثقة.</w:t>
      </w:r>
    </w:p>
    <w:p>
      <w:pPr>
        <w:bidi w:val="1"/>
        <w:spacing w:after="80" w:line="276" w:lineRule="auto"/>
        <w:jc w:val="both"/>
      </w:pPr>
      <w:r>
        <w:rPr>
          <w:rFonts w:ascii="Arial" w:hAnsi="Arial" w:cs="Arial"/>
          <w:b w:val="0"/>
          <w:i w:val="0"/>
          <w:sz w:val="22"/>
          <w:szCs w:val="22"/>
          <w:rtl/>
        </w:rPr>
        <w:t>NFR-A06 — OCR الخارجي: موافقة واضحة، تقليل مساحة الصورة المرسلة، توثيق المزود واحتفاظه بالبيانات ومكان المعالجة، ومنع إرسال السياقات الحساسة.</w:t>
      </w:r>
    </w:p>
    <w:p>
      <w:pPr>
        <w:bidi w:val="1"/>
        <w:spacing w:after="80" w:line="276" w:lineRule="auto"/>
        <w:jc w:val="both"/>
      </w:pPr>
      <w:r>
        <w:rPr>
          <w:rFonts w:ascii="Arial" w:hAnsi="Arial" w:cs="Arial"/>
          <w:b w:val="0"/>
          <w:i w:val="0"/>
          <w:sz w:val="22"/>
          <w:szCs w:val="22"/>
          <w:rtl/>
        </w:rPr>
        <w:t>NFR-A07 — السياقات الحساسة: عند تعذر تحديد أن السياق آمن، لا يُرسل النص أو الصورة إلى خدمة خارجية.</w:t>
      </w:r>
    </w:p>
    <w:p>
      <w:pPr>
        <w:bidi w:val="1"/>
        <w:spacing w:before="280" w:after="120"/>
        <w:jc w:val="right"/>
        <w:outlineLvl w:val="0"/>
        <w:pBdr>
          <w:bottom w:val="single" w:sz="6" w:space="2" w:color="1F3B63"/>
        </w:pBdr>
      </w:pPr>
      <w:r>
        <w:rPr>
          <w:rFonts w:ascii="Arial" w:hAnsi="Arial" w:cs="Arial"/>
          <w:b/>
          <w:i w:val="0"/>
          <w:color w:val="1F3B63"/>
          <w:sz w:val="30"/>
          <w:szCs w:val="30"/>
          <w:bCs/>
          <w:rtl/>
        </w:rPr>
        <w:t>7. التوافق</w:t>
      </w:r>
    </w:p>
    <w:p>
      <w:pPr>
        <w:bidi w:val="1"/>
        <w:spacing w:after="80" w:line="276" w:lineRule="auto"/>
        <w:jc w:val="both"/>
      </w:pPr>
      <w:r>
        <w:rPr>
          <w:rFonts w:ascii="Arial" w:hAnsi="Arial" w:cs="Arial"/>
          <w:b w:val="0"/>
          <w:i w:val="0"/>
          <w:sz w:val="22"/>
          <w:szCs w:val="22"/>
          <w:rtl/>
        </w:rPr>
        <w:t>يُختبر التطبيق مبدئيًا مع: Chrome وEdge، Firefox، Word وNotepad، Visual Studio Code، Adobe Acrobat Reader. يشمل الاختبار UIA، النص المحدد، الحافظة، DPI، اتجاه الواجهة، النوافذ المرتفعة الصلاحيات، وفشل استخراج النص. الإدراج لا يعني تغطية مضمونة قبل G1.</w:t>
      </w:r>
    </w:p>
    <w:p>
      <w:pPr>
        <w:bidi w:val="1"/>
        <w:spacing w:before="280" w:after="120"/>
        <w:jc w:val="right"/>
        <w:outlineLvl w:val="0"/>
        <w:pBdr>
          <w:bottom w:val="single" w:sz="6" w:space="2" w:color="1F3B63"/>
        </w:pBdr>
      </w:pPr>
      <w:r>
        <w:rPr>
          <w:rFonts w:ascii="Arial" w:hAnsi="Arial" w:cs="Arial"/>
          <w:b/>
          <w:i w:val="0"/>
          <w:color w:val="1F3B63"/>
          <w:sz w:val="30"/>
          <w:szCs w:val="30"/>
          <w:bCs/>
          <w:rtl/>
        </w:rPr>
        <w:t>8. الاستقرار والموثوقية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عدم تجميد الواجهة عند انتظار الشبكة (asyncio/QThreadPool).</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تجاهل النتائج القديمة عبر أرقام جلسات (generation counter).</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قاطع دائرة للمزود بعد تكرار الفشل.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منع الطلبات الجديدة بعد الإيقاف المؤقت.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معالجة فشل التحديث والعودة إلى نسخة سليمة وفق سياسة موثقة.</w:t>
      </w:r>
    </w:p>
    <w:p>
      <w:pPr>
        <w:bidi w:val="1"/>
        <w:spacing w:before="280" w:after="120"/>
        <w:jc w:val="right"/>
        <w:outlineLvl w:val="0"/>
        <w:pBdr>
          <w:bottom w:val="single" w:sz="6" w:space="2" w:color="1F3B63"/>
        </w:pBdr>
      </w:pPr>
      <w:r>
        <w:rPr>
          <w:rFonts w:ascii="Arial" w:hAnsi="Arial" w:cs="Arial"/>
          <w:b/>
          <w:i w:val="0"/>
          <w:color w:val="1F3B63"/>
          <w:sz w:val="30"/>
          <w:szCs w:val="30"/>
          <w:bCs/>
          <w:rtl/>
        </w:rPr>
        <w:t>9. القبول والتنازلات</w:t>
      </w:r>
    </w:p>
    <w:p>
      <w:pPr>
        <w:bidi w:val="1"/>
        <w:spacing w:after="80" w:line="276" w:lineRule="auto"/>
        <w:jc w:val="both"/>
      </w:pPr>
      <w:r>
        <w:rPr>
          <w:rFonts w:ascii="Arial" w:hAnsi="Arial" w:cs="Arial"/>
          <w:b w:val="0"/>
          <w:i w:val="0"/>
          <w:sz w:val="22"/>
          <w:szCs w:val="22"/>
          <w:rtl/>
        </w:rPr>
        <w:t>لا يُسمح بتمرير هدف أداء غير محقق شفهيًا. أي استثناء يجب أن يتضمن: المتطلب المتأثر، نتيجة القياس الفعلية، الأثر على المستخدم، التخفيف المتاح، وموافقة مالك المنتج المكتوبة. هذه السياسة موحدة مع HT-TEST-09.</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i w:val="0"/>
        <w:color w:val="888888"/>
        <w:sz w:val="18"/>
        <w:szCs w:val="18"/>
        <w:rtl/>
      </w:rPr>
      <w:t>HOVERTRANSLATE — HT-NFR-03 — الإصدار 3.0 — إعداد: م. شادي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