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bidi w:val="1"/>
        <w:jc w:val="center"/>
      </w:pPr>
      <w:r>
        <w:rPr>
          <w:rFonts w:ascii="Arial" w:hAnsi="Arial" w:cs="Arial"/>
          <w:b/>
          <w:i w:val="0"/>
          <w:color w:val="1F3B63"/>
          <w:sz w:val="60"/>
          <w:szCs w:val="60"/>
          <w:bCs/>
          <w:rtl/>
        </w:rPr>
        <w:t>HOVERTRANSLATE</w:t>
      </w:r>
    </w:p>
    <w:p>
      <w:pPr>
        <w:bidi w:val="1"/>
        <w:jc w:val="center"/>
      </w:pPr>
      <w:r>
        <w:rPr>
          <w:rFonts w:ascii="Arial" w:hAnsi="Arial" w:cs="Arial"/>
          <w:b w:val="0"/>
          <w:i w:val="0"/>
          <w:color w:val="2E5E8C"/>
          <w:sz w:val="28"/>
          <w:szCs w:val="28"/>
          <w:rtl/>
        </w:rPr>
        <w:t>ترجمة فورية بنقرة واحدة — تطبيق Windows بلغة Python</w:t>
      </w:r>
    </w:p>
    <w:p/>
    <w:p>
      <w:pPr>
        <w:bidi w:val="1"/>
        <w:jc w:val="center"/>
      </w:pPr>
      <w:r>
        <w:rPr>
          <w:rFonts w:ascii="Arial" w:hAnsi="Arial" w:cs="Arial"/>
          <w:b/>
          <w:i w:val="0"/>
          <w:sz w:val="40"/>
          <w:szCs w:val="40"/>
          <w:bCs/>
          <w:rtl/>
        </w:rPr>
        <w:t>خارطة الطريق والمراحل الزمنية</w:t>
      </w:r>
    </w:p>
    <w:p>
      <w:pPr>
        <w:bidi w:val="1"/>
        <w:jc w:val="center"/>
      </w:pPr>
      <w:r>
        <w:rPr>
          <w:rFonts w:ascii="Arial" w:hAnsi="Arial" w:cs="Arial"/>
          <w:b w:val="0"/>
          <w:i w:val="0"/>
          <w:color w:val="2E5E8C"/>
          <w:sz w:val="24"/>
          <w:szCs w:val="24"/>
          <w:rtl/>
        </w:rPr>
        <w:t>حزمة الوثائق الهندسية المعتمدة — نسخة تنفيذ Python 3.14.5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706"/>
        <w:gridCol w:w="4706"/>
      </w:tblGrid>
      <w:tr>
        <w:tc>
          <w:tcPr>
            <w:tcW w:type="dxa" w:w="4706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البند</w:t>
            </w:r>
          </w:p>
        </w:tc>
        <w:tc>
          <w:tcPr>
            <w:tcW w:type="dxa" w:w="4706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القيمة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رمز الوثيقة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HT-ROADMAP-10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الإصدار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3.0 — نسخة Python 3.14.5 المعتمدة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الحالة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خطة أولية — تُعاد بعد نتائج البوابات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المُعدّ / المالك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المهندس شادي</w:t>
            </w:r>
          </w:p>
        </w:tc>
      </w:tr>
      <w:tr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تاريخ الإعداد</w:t>
            </w:r>
          </w:p>
        </w:tc>
        <w:tc>
          <w:tcPr>
            <w:tcW w:type="dxa" w:w="4706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21 أكتوبر 2026</w:t>
            </w:r>
          </w:p>
        </w:tc>
      </w:tr>
    </w:tbl>
    <w:p>
      <w:pPr>
        <w:spacing w:after="40"/>
      </w:pPr>
    </w:p>
    <w:p/>
    <w:p/>
    <w:p>
      <w:pPr>
        <w:bidi w:val="1"/>
        <w:jc w:val="center"/>
      </w:pPr>
      <w:r>
        <w:rPr>
          <w:rFonts w:ascii="Arial" w:hAnsi="Arial" w:cs="Arial"/>
          <w:b/>
          <w:i w:val="0"/>
          <w:color w:val="1F3B63"/>
          <w:sz w:val="32"/>
          <w:szCs w:val="32"/>
          <w:bCs/>
          <w:rtl/>
        </w:rPr>
        <w:t>إعداد: م. شادي</w:t>
      </w:r>
    </w:p>
    <w:p>
      <w:r>
        <w:br w:type="page"/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الفهرس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1. الغرض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2. المراحل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3. معالم القرار</w:t>
      </w:r>
    </w:p>
    <w:p>
      <w:pPr>
        <w:bidi w:val="1"/>
        <w:jc w:val="right"/>
      </w:pPr>
      <w:r>
        <w:rPr>
          <w:rFonts w:ascii="Arial" w:hAnsi="Arial" w:cs="Arial"/>
          <w:b/>
          <w:i w:val="0"/>
          <w:sz w:val="22"/>
          <w:szCs w:val="22"/>
          <w:bCs/>
          <w:rtl/>
        </w:rPr>
        <w:t>4. ما بعد الإصدار الأول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رمز الوثيقة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الإصدار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الحالة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المُعدّ / المالك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HT-ROADMAP-10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3.0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خطة أولية — تُعاد بعد نتائج البوابات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المهندس شادي</w:t>
            </w:r>
          </w:p>
        </w:tc>
      </w:tr>
    </w:tbl>
    <w:p>
      <w:pPr>
        <w:spacing w:after="40"/>
      </w:pP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1. الغرض</w:t>
      </w: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تعريف المراحل والمعالم الزمنية لتنفيذ Python 3.14.5 مع نقاط قرار موثقة عند كل بوابة.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2. المراحل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المرحلة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النطاق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المدة التخطيطية</w:t>
            </w:r>
          </w:p>
        </w:tc>
        <w:tc>
          <w:tcPr>
            <w:tcW w:type="dxa" w:w="2353"/>
            <w:shd w:val="clear" w:fill="E3EAF3"/>
          </w:tcPr>
          <w:p>
            <w:pPr>
              <w:bidi w:val="1"/>
              <w:jc w:val="center"/>
            </w:pPr>
            <w:r>
              <w:rPr>
                <w:rFonts w:ascii="Arial" w:hAnsi="Arial" w:cs="Arial"/>
                <w:b/>
                <w:i w:val="0"/>
                <w:color w:val="1F3B63"/>
                <w:sz w:val="21"/>
                <w:szCs w:val="21"/>
                <w:bCs/>
                <w:rtl/>
              </w:rPr>
              <w:t>المخرج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M0 — التجهيز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بيئة التطوير، Python 3.14.5، البيئة المعزولة، هيكل الحزمة (HT-API-06)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أسبوع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هيكل مشروع وبيئة تعمل وCI أولي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M1 — البوابات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G1 استخراج النص، G2 المشغّل، G3 المزود/OCR (G1 وG2 بالتوازي جزئيًا)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3–4 أسابيع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تقارير بوابات وقرارات موثقة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M2 — التطوير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المكونات وفق HT-API-06 + قاعدة البيانات (HT-DB-05) + الواجهة (HT-UX-02)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6–8 أسابيع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تطبيق كامل الميزات مع اختبارات الوحدة والتكامل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M3 — النظام والأداء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اختبار النظام والأداء والخصوصية وفق HT-TEST-09 وHT-NFR-03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3 أسابيع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تقرير أداء موقّع P50/P95/P99</w:t>
            </w:r>
          </w:p>
        </w:tc>
      </w:tr>
      <w:tr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M4 — التثبيت والقبول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PyInstaller، التوقيع، القبول، الإزالة النظيفة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أسبوعان</w:t>
            </w:r>
          </w:p>
        </w:tc>
        <w:tc>
          <w:tcPr>
            <w:tcW w:type="dxa" w:w="2353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i w:val="0"/>
                <w:sz w:val="21"/>
                <w:szCs w:val="21"/>
                <w:rtl/>
              </w:rPr>
              <w:t>حزمة توزيع موقّعة معتمدة</w:t>
            </w:r>
          </w:p>
        </w:tc>
      </w:tr>
    </w:tbl>
    <w:p>
      <w:pPr>
        <w:spacing w:after="40"/>
      </w:pPr>
    </w:p>
    <w:p>
      <w:pPr>
        <w:bidi w:val="1"/>
        <w:spacing w:after="80" w:line="276" w:lineRule="auto"/>
        <w:jc w:val="both"/>
      </w:pPr>
      <w:r>
        <w:rPr>
          <w:rFonts w:ascii="Arial" w:hAnsi="Arial" w:cs="Arial"/>
          <w:b w:val="0"/>
          <w:i w:val="0"/>
          <w:sz w:val="22"/>
          <w:szCs w:val="22"/>
          <w:rtl/>
        </w:rPr>
        <w:t>المجموع الحسابي دون تداخل: 14–17 أسبوعًا، ويُعاد التقدير بعد نتائج البوابات.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3. معالم القرار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نهاية M1: قرار استمرار/تعديل نطاق بناءً على G1–G3 (تقارير مكتوبة إلزامية).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نهاية M2: تجميد الميزات (feature freeze) وبدء تثبيت الاعتماديات النهائية.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نهاية M3: مراجعة خصوصية نهائية واعتماد نطاق التطبيقات المدعومة فعليًا.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نهاية M4: إصدار حزمة الإصدار الأول موقعة وموثقة.</w:t>
      </w:r>
    </w:p>
    <w:p>
      <w:pPr>
        <w:bidi w:val="1"/>
        <w:spacing w:before="280" w:after="120"/>
        <w:jc w:val="right"/>
        <w:outlineLvl w:val="0"/>
        <w:pBdr>
          <w:bottom w:val="single" w:sz="6" w:space="2" w:color="1F3B63"/>
        </w:pBdr>
      </w:pPr>
      <w:r>
        <w:rPr>
          <w:rFonts w:ascii="Arial" w:hAnsi="Arial" w:cs="Arial"/>
          <w:b/>
          <w:i w:val="0"/>
          <w:color w:val="1F3B63"/>
          <w:sz w:val="30"/>
          <w:szCs w:val="30"/>
          <w:bCs/>
          <w:rtl/>
        </w:rPr>
        <w:t>4. ما بعد الإصدار الأول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التحديث التلقائي عبر قناة موقعة (مؤجل من الإصدار الأول عمدًا).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توسيع نطاق التطبيقات المدعومة وفق نتائج G1 المتراكمة.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قياس وثني لخصائص Python 3.14 التجريبية (free-threading/JIT) دون اعتماد إنتاجي.</w:t>
      </w:r>
    </w:p>
    <w:p>
      <w:pPr>
        <w:bidi w:val="1"/>
        <w:spacing w:after="40" w:line="276" w:lineRule="auto"/>
        <w:jc w:val="right"/>
      </w:pPr>
      <w:r>
        <w:rPr>
          <w:rFonts w:ascii="Arial" w:hAnsi="Arial" w:cs="Arial"/>
          <w:b/>
          <w:i w:val="0"/>
          <w:color w:val="2E5E8C"/>
          <w:sz w:val="22"/>
          <w:szCs w:val="22"/>
          <w:bCs/>
          <w:rtl/>
        </w:rPr>
        <w:t xml:space="preserve">•  </w:t>
      </w:r>
      <w:r>
        <w:rPr>
          <w:rFonts w:ascii="Arial" w:hAnsi="Arial" w:cs="Arial"/>
          <w:b w:val="0"/>
          <w:i w:val="0"/>
          <w:sz w:val="22"/>
          <w:szCs w:val="22"/>
          <w:rtl/>
        </w:rPr>
        <w:t>توسيع أزواج اللغات بعد استقرار الثنائي ar-ru / ru-ar.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i w:val="0"/>
        <w:color w:val="888888"/>
        <w:sz w:val="18"/>
        <w:szCs w:val="18"/>
        <w:rtl/>
      </w:rPr>
      <w:t>HOVERTRANSLATE — HT-ROADMAP-10 — الإصدار 3.0 — إعداد: م. شادي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