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bidi w:val="1"/>
        <w:jc w:val="center"/>
      </w:pPr>
      <w:r>
        <w:rPr>
          <w:rFonts w:ascii="Arial" w:hAnsi="Arial" w:cs="Arial"/>
          <w:b/>
          <w:i w:val="0"/>
          <w:color w:val="1F3B63"/>
          <w:sz w:val="60"/>
          <w:szCs w:val="60"/>
          <w:bCs/>
          <w:rtl/>
        </w:rPr>
        <w:t>HOVERTRANSLATE</w:t>
      </w:r>
    </w:p>
    <w:p>
      <w:pPr>
        <w:bidi w:val="1"/>
        <w:jc w:val="center"/>
      </w:pPr>
      <w:r>
        <w:rPr>
          <w:rFonts w:ascii="Arial" w:hAnsi="Arial" w:cs="Arial"/>
          <w:b w:val="0"/>
          <w:i w:val="0"/>
          <w:color w:val="2E5E8C"/>
          <w:sz w:val="28"/>
          <w:szCs w:val="28"/>
          <w:rtl/>
        </w:rPr>
        <w:t>ترجمة فورية بنقرة واحدة — تطبيق Windows بلغة Python</w:t>
      </w:r>
    </w:p>
    <w:p/>
    <w:p>
      <w:pPr>
        <w:bidi w:val="1"/>
        <w:jc w:val="center"/>
      </w:pPr>
      <w:r>
        <w:rPr>
          <w:rFonts w:ascii="Arial" w:hAnsi="Arial" w:cs="Arial"/>
          <w:b/>
          <w:i w:val="0"/>
          <w:sz w:val="40"/>
          <w:szCs w:val="40"/>
          <w:bCs/>
          <w:rtl/>
        </w:rPr>
        <w:t>مواصفة متطلبات البرمجيات والمنتج</w:t>
      </w:r>
    </w:p>
    <w:p>
      <w:pPr>
        <w:bidi w:val="1"/>
        <w:jc w:val="center"/>
      </w:pPr>
      <w:r>
        <w:rPr>
          <w:rFonts w:ascii="Arial" w:hAnsi="Arial" w:cs="Arial"/>
          <w:b w:val="0"/>
          <w:i w:val="0"/>
          <w:color w:val="2E5E8C"/>
          <w:sz w:val="24"/>
          <w:szCs w:val="24"/>
          <w:rtl/>
        </w:rPr>
        <w:t>حزمة الوثائق الهندسية المعتمدة — نسخة تنفيذ Python 3.14.5</w:t>
      </w:r>
    </w:p>
    <w:p/>
    <w:p/>
    <w:tbl>
      <w:tblPr>
        <w:tblStyle w:val="TableGrid"/>
        <w:tblW w:type="auto" w:w="0"/>
        <w:tblLook w:firstColumn="1" w:firstRow="1" w:lastColumn="0" w:lastRow="0" w:noHBand="0" w:noVBand="1" w:val="04A0"/>
        <w:bidiVisual/>
      </w:tblPr>
      <w:tblGrid>
        <w:gridCol w:w="4706"/>
        <w:gridCol w:w="4706"/>
      </w:tblGrid>
      <w:tr>
        <w:tc>
          <w:tcPr>
            <w:tcW w:type="dxa" w:w="4706"/>
            <w:shd w:val="clear" w:fill="E3EAF3"/>
          </w:tcPr>
          <w:p>
            <w:pPr>
              <w:bidi w:val="1"/>
              <w:jc w:val="center"/>
            </w:pPr>
            <w:r>
              <w:rPr>
                <w:rFonts w:ascii="Arial" w:hAnsi="Arial" w:cs="Arial"/>
                <w:b/>
                <w:i w:val="0"/>
                <w:color w:val="1F3B63"/>
                <w:sz w:val="21"/>
                <w:szCs w:val="21"/>
                <w:bCs/>
                <w:rtl/>
              </w:rPr>
              <w:t>البند</w:t>
            </w:r>
          </w:p>
        </w:tc>
        <w:tc>
          <w:tcPr>
            <w:tcW w:type="dxa" w:w="4706"/>
            <w:shd w:val="clear" w:fill="E3EAF3"/>
          </w:tcPr>
          <w:p>
            <w:pPr>
              <w:bidi w:val="1"/>
              <w:jc w:val="center"/>
            </w:pPr>
            <w:r>
              <w:rPr>
                <w:rFonts w:ascii="Arial" w:hAnsi="Arial" w:cs="Arial"/>
                <w:b/>
                <w:i w:val="0"/>
                <w:color w:val="1F3B63"/>
                <w:sz w:val="21"/>
                <w:szCs w:val="21"/>
                <w:bCs/>
                <w:rtl/>
              </w:rPr>
              <w:t>القيمة</w:t>
            </w:r>
          </w:p>
        </w:tc>
      </w:tr>
      <w:tr>
        <w:tc>
          <w:tcPr>
            <w:tcW w:type="dxa" w:w="4706"/>
          </w:tcPr>
          <w:p>
            <w:pPr>
              <w:bidi w:val="1"/>
              <w:jc w:val="right"/>
            </w:pPr>
            <w:r>
              <w:rPr>
                <w:rFonts w:ascii="Arial" w:hAnsi="Arial" w:cs="Arial"/>
                <w:b w:val="0"/>
                <w:i w:val="0"/>
                <w:sz w:val="21"/>
                <w:szCs w:val="21"/>
                <w:rtl/>
              </w:rPr>
              <w:t>رمز الوثيقة</w:t>
            </w:r>
          </w:p>
        </w:tc>
        <w:tc>
          <w:tcPr>
            <w:tcW w:type="dxa" w:w="4706"/>
          </w:tcPr>
          <w:p>
            <w:pPr>
              <w:bidi w:val="1"/>
              <w:jc w:val="right"/>
            </w:pPr>
            <w:r>
              <w:rPr>
                <w:rFonts w:ascii="Arial" w:hAnsi="Arial" w:cs="Arial"/>
                <w:b w:val="0"/>
                <w:i w:val="0"/>
                <w:sz w:val="21"/>
                <w:szCs w:val="21"/>
                <w:rtl/>
              </w:rPr>
              <w:t>HT-SRS-01</w:t>
            </w:r>
          </w:p>
        </w:tc>
      </w:tr>
      <w:tr>
        <w:tc>
          <w:tcPr>
            <w:tcW w:type="dxa" w:w="4706"/>
          </w:tcPr>
          <w:p>
            <w:pPr>
              <w:bidi w:val="1"/>
              <w:jc w:val="right"/>
            </w:pPr>
            <w:r>
              <w:rPr>
                <w:rFonts w:ascii="Arial" w:hAnsi="Arial" w:cs="Arial"/>
                <w:b w:val="0"/>
                <w:i w:val="0"/>
                <w:sz w:val="21"/>
                <w:szCs w:val="21"/>
                <w:rtl/>
              </w:rPr>
              <w:t>الإصدار</w:t>
            </w:r>
          </w:p>
        </w:tc>
        <w:tc>
          <w:tcPr>
            <w:tcW w:type="dxa" w:w="4706"/>
          </w:tcPr>
          <w:p>
            <w:pPr>
              <w:bidi w:val="1"/>
              <w:jc w:val="right"/>
            </w:pPr>
            <w:r>
              <w:rPr>
                <w:rFonts w:ascii="Arial" w:hAnsi="Arial" w:cs="Arial"/>
                <w:b w:val="0"/>
                <w:i w:val="0"/>
                <w:sz w:val="21"/>
                <w:szCs w:val="21"/>
                <w:rtl/>
              </w:rPr>
              <w:t>3.0 — نسخة Python 3.14.5 المعتمدة</w:t>
            </w:r>
          </w:p>
        </w:tc>
      </w:tr>
      <w:tr>
        <w:tc>
          <w:tcPr>
            <w:tcW w:type="dxa" w:w="4706"/>
          </w:tcPr>
          <w:p>
            <w:pPr>
              <w:bidi w:val="1"/>
              <w:jc w:val="right"/>
            </w:pPr>
            <w:r>
              <w:rPr>
                <w:rFonts w:ascii="Arial" w:hAnsi="Arial" w:cs="Arial"/>
                <w:b w:val="0"/>
                <w:i w:val="0"/>
                <w:sz w:val="21"/>
                <w:szCs w:val="21"/>
                <w:rtl/>
              </w:rPr>
              <w:t>الحالة</w:t>
            </w:r>
          </w:p>
        </w:tc>
        <w:tc>
          <w:tcPr>
            <w:tcW w:type="dxa" w:w="4706"/>
          </w:tcPr>
          <w:p>
            <w:pPr>
              <w:bidi w:val="1"/>
              <w:jc w:val="right"/>
            </w:pPr>
            <w:r>
              <w:rPr>
                <w:rFonts w:ascii="Arial" w:hAnsi="Arial" w:cs="Arial"/>
                <w:b w:val="0"/>
                <w:i w:val="0"/>
                <w:sz w:val="21"/>
                <w:szCs w:val="21"/>
                <w:rtl/>
              </w:rPr>
              <w:t>خط أساس معتمد — مشروط ببوابات G1–G3</w:t>
            </w:r>
          </w:p>
        </w:tc>
      </w:tr>
      <w:tr>
        <w:tc>
          <w:tcPr>
            <w:tcW w:type="dxa" w:w="4706"/>
          </w:tcPr>
          <w:p>
            <w:pPr>
              <w:bidi w:val="1"/>
              <w:jc w:val="right"/>
            </w:pPr>
            <w:r>
              <w:rPr>
                <w:rFonts w:ascii="Arial" w:hAnsi="Arial" w:cs="Arial"/>
                <w:b w:val="0"/>
                <w:i w:val="0"/>
                <w:sz w:val="21"/>
                <w:szCs w:val="21"/>
                <w:rtl/>
              </w:rPr>
              <w:t>المُعدّ / المالك</w:t>
            </w:r>
          </w:p>
        </w:tc>
        <w:tc>
          <w:tcPr>
            <w:tcW w:type="dxa" w:w="4706"/>
          </w:tcPr>
          <w:p>
            <w:pPr>
              <w:bidi w:val="1"/>
              <w:jc w:val="right"/>
            </w:pPr>
            <w:r>
              <w:rPr>
                <w:rFonts w:ascii="Arial" w:hAnsi="Arial" w:cs="Arial"/>
                <w:b w:val="0"/>
                <w:i w:val="0"/>
                <w:sz w:val="21"/>
                <w:szCs w:val="21"/>
                <w:rtl/>
              </w:rPr>
              <w:t>المهندس شادي</w:t>
            </w:r>
          </w:p>
        </w:tc>
      </w:tr>
      <w:tr>
        <w:tc>
          <w:tcPr>
            <w:tcW w:type="dxa" w:w="4706"/>
          </w:tcPr>
          <w:p>
            <w:pPr>
              <w:bidi w:val="1"/>
              <w:jc w:val="right"/>
            </w:pPr>
            <w:r>
              <w:rPr>
                <w:rFonts w:ascii="Arial" w:hAnsi="Arial" w:cs="Arial"/>
                <w:b w:val="0"/>
                <w:i w:val="0"/>
                <w:sz w:val="21"/>
                <w:szCs w:val="21"/>
                <w:rtl/>
              </w:rPr>
              <w:t>تاريخ الإعداد</w:t>
            </w:r>
          </w:p>
        </w:tc>
        <w:tc>
          <w:tcPr>
            <w:tcW w:type="dxa" w:w="4706"/>
          </w:tcPr>
          <w:p>
            <w:pPr>
              <w:bidi w:val="1"/>
              <w:jc w:val="right"/>
            </w:pPr>
            <w:r>
              <w:rPr>
                <w:rFonts w:ascii="Arial" w:hAnsi="Arial" w:cs="Arial"/>
                <w:b w:val="0"/>
                <w:i w:val="0"/>
                <w:sz w:val="21"/>
                <w:szCs w:val="21"/>
                <w:rtl/>
              </w:rPr>
              <w:t>21 أكتوبر 2026</w:t>
            </w:r>
          </w:p>
        </w:tc>
      </w:tr>
    </w:tbl>
    <w:p>
      <w:pPr>
        <w:spacing w:after="40"/>
      </w:pPr>
    </w:p>
    <w:p/>
    <w:p/>
    <w:p>
      <w:pPr>
        <w:bidi w:val="1"/>
        <w:jc w:val="center"/>
      </w:pPr>
      <w:r>
        <w:rPr>
          <w:rFonts w:ascii="Arial" w:hAnsi="Arial" w:cs="Arial"/>
          <w:b/>
          <w:i w:val="0"/>
          <w:color w:val="1F3B63"/>
          <w:sz w:val="32"/>
          <w:szCs w:val="32"/>
          <w:bCs/>
          <w:rtl/>
        </w:rPr>
        <w:t>إعداد: م. شادي</w:t>
      </w:r>
    </w:p>
    <w:p>
      <w:r>
        <w:br w:type="page"/>
      </w:r>
    </w:p>
    <w:p>
      <w:pPr>
        <w:bidi w:val="1"/>
        <w:spacing w:before="280" w:after="120"/>
        <w:jc w:val="right"/>
        <w:outlineLvl w:val="0"/>
        <w:pBdr>
          <w:bottom w:val="single" w:sz="6" w:space="2" w:color="1F3B63"/>
        </w:pBdr>
      </w:pPr>
      <w:r>
        <w:rPr>
          <w:rFonts w:ascii="Arial" w:hAnsi="Arial" w:cs="Arial"/>
          <w:b/>
          <w:i w:val="0"/>
          <w:color w:val="1F3B63"/>
          <w:sz w:val="30"/>
          <w:szCs w:val="30"/>
          <w:bCs/>
          <w:rtl/>
        </w:rPr>
        <w:t>الفهرس</w:t>
      </w:r>
    </w:p>
    <w:p>
      <w:pPr>
        <w:bidi w:val="1"/>
        <w:jc w:val="right"/>
      </w:pPr>
      <w:r>
        <w:rPr>
          <w:rFonts w:ascii="Arial" w:hAnsi="Arial" w:cs="Arial"/>
          <w:b/>
          <w:i w:val="0"/>
          <w:sz w:val="22"/>
          <w:szCs w:val="22"/>
          <w:bCs/>
          <w:rtl/>
        </w:rPr>
        <w:t>1. الغرض</w:t>
      </w:r>
    </w:p>
    <w:p>
      <w:pPr>
        <w:bidi w:val="1"/>
        <w:jc w:val="right"/>
      </w:pPr>
      <w:r>
        <w:rPr>
          <w:rFonts w:ascii="Arial" w:hAnsi="Arial" w:cs="Arial"/>
          <w:b/>
          <w:i w:val="0"/>
          <w:sz w:val="22"/>
          <w:szCs w:val="22"/>
          <w:bCs/>
          <w:rtl/>
        </w:rPr>
        <w:t>2. نطاق المنتج</w:t>
      </w:r>
    </w:p>
    <w:p>
      <w:pPr>
        <w:bidi w:val="1"/>
        <w:jc w:val="right"/>
      </w:pPr>
      <w:r>
        <w:rPr>
          <w:rFonts w:ascii="Arial" w:hAnsi="Arial" w:cs="Arial"/>
          <w:b/>
          <w:i w:val="0"/>
          <w:sz w:val="22"/>
          <w:szCs w:val="22"/>
          <w:bCs/>
          <w:rtl/>
        </w:rPr>
        <w:t>3. سيناريوهات الاستخدام</w:t>
      </w:r>
    </w:p>
    <w:p>
      <w:pPr>
        <w:bidi w:val="1"/>
        <w:jc w:val="right"/>
      </w:pPr>
      <w:r>
        <w:rPr>
          <w:rFonts w:ascii="Arial" w:hAnsi="Arial" w:cs="Arial"/>
          <w:b/>
          <w:i w:val="0"/>
          <w:sz w:val="22"/>
          <w:szCs w:val="22"/>
          <w:bCs/>
          <w:rtl/>
        </w:rPr>
        <w:t>4. المتطلبات الوظيفية</w:t>
      </w:r>
    </w:p>
    <w:p>
      <w:pPr>
        <w:bidi w:val="1"/>
        <w:jc w:val="right"/>
      </w:pPr>
      <w:r>
        <w:rPr>
          <w:rFonts w:ascii="Arial" w:hAnsi="Arial" w:cs="Arial"/>
          <w:b/>
          <w:i w:val="0"/>
          <w:sz w:val="22"/>
          <w:szCs w:val="22"/>
          <w:bCs/>
          <w:rtl/>
        </w:rPr>
        <w:t>5. المتطلبات غير الوظيفية</w:t>
      </w:r>
    </w:p>
    <w:p>
      <w:pPr>
        <w:bidi w:val="1"/>
        <w:jc w:val="right"/>
      </w:pPr>
      <w:r>
        <w:rPr>
          <w:rFonts w:ascii="Arial" w:hAnsi="Arial" w:cs="Arial"/>
          <w:b/>
          <w:i w:val="0"/>
          <w:sz w:val="22"/>
          <w:szCs w:val="22"/>
          <w:bCs/>
          <w:rtl/>
        </w:rPr>
        <w:t>6. التطبيقات المستهدفة مبدئيًا</w:t>
      </w:r>
    </w:p>
    <w:p>
      <w:pPr>
        <w:bidi w:val="1"/>
        <w:jc w:val="right"/>
      </w:pPr>
      <w:r>
        <w:rPr>
          <w:rFonts w:ascii="Arial" w:hAnsi="Arial" w:cs="Arial"/>
          <w:b/>
          <w:i w:val="0"/>
          <w:sz w:val="22"/>
          <w:szCs w:val="22"/>
          <w:bCs/>
          <w:rtl/>
        </w:rPr>
        <w:t>7. معايير القبول العامة</w:t>
      </w:r>
    </w:p>
    <w:p>
      <w:pPr>
        <w:bidi w:val="1"/>
        <w:jc w:val="right"/>
      </w:pPr>
      <w:r>
        <w:rPr>
          <w:rFonts w:ascii="Arial" w:hAnsi="Arial" w:cs="Arial"/>
          <w:b/>
          <w:i w:val="0"/>
          <w:sz w:val="22"/>
          <w:szCs w:val="22"/>
          <w:bCs/>
          <w:rtl/>
        </w:rPr>
        <w:t>8. بوابات القرار</w:t>
      </w:r>
    </w:p>
    <w:p>
      <w:pPr>
        <w:bidi w:val="1"/>
        <w:jc w:val="right"/>
      </w:pPr>
      <w:r>
        <w:rPr>
          <w:rFonts w:ascii="Arial" w:hAnsi="Arial" w:cs="Arial"/>
          <w:b/>
          <w:i w:val="0"/>
          <w:sz w:val="22"/>
          <w:szCs w:val="22"/>
          <w:bCs/>
          <w:rtl/>
        </w:rPr>
        <w:t>9. المستندات المرتبطة</w:t>
      </w:r>
    </w:p>
    <w:p>
      <w:r>
        <w:br w:type="page"/>
      </w:r>
    </w:p>
    <w:tbl>
      <w:tblPr>
        <w:tblStyle w:val="TableGrid"/>
        <w:tblW w:type="auto" w:w="0"/>
        <w:tblLook w:firstColumn="1" w:firstRow="1" w:lastColumn="0" w:lastRow="0" w:noHBand="0" w:noVBand="1" w:val="04A0"/>
        <w:bidiVisual/>
      </w:tblPr>
      <w:tblGrid>
        <w:gridCol w:w="2353"/>
        <w:gridCol w:w="2353"/>
        <w:gridCol w:w="2353"/>
        <w:gridCol w:w="2353"/>
      </w:tblGrid>
      <w:tr>
        <w:tc>
          <w:tcPr>
            <w:tcW w:type="dxa" w:w="2353"/>
            <w:shd w:val="clear" w:fill="E3EAF3"/>
          </w:tcPr>
          <w:p>
            <w:pPr>
              <w:bidi w:val="1"/>
              <w:jc w:val="center"/>
            </w:pPr>
            <w:r>
              <w:rPr>
                <w:rFonts w:ascii="Arial" w:hAnsi="Arial" w:cs="Arial"/>
                <w:b/>
                <w:i w:val="0"/>
                <w:color w:val="1F3B63"/>
                <w:sz w:val="21"/>
                <w:szCs w:val="21"/>
                <w:bCs/>
                <w:rtl/>
              </w:rPr>
              <w:t>رمز الوثيقة</w:t>
            </w:r>
          </w:p>
        </w:tc>
        <w:tc>
          <w:tcPr>
            <w:tcW w:type="dxa" w:w="2353"/>
            <w:shd w:val="clear" w:fill="E3EAF3"/>
          </w:tcPr>
          <w:p>
            <w:pPr>
              <w:bidi w:val="1"/>
              <w:jc w:val="center"/>
            </w:pPr>
            <w:r>
              <w:rPr>
                <w:rFonts w:ascii="Arial" w:hAnsi="Arial" w:cs="Arial"/>
                <w:b/>
                <w:i w:val="0"/>
                <w:color w:val="1F3B63"/>
                <w:sz w:val="21"/>
                <w:szCs w:val="21"/>
                <w:bCs/>
                <w:rtl/>
              </w:rPr>
              <w:t>الإصدار</w:t>
            </w:r>
          </w:p>
        </w:tc>
        <w:tc>
          <w:tcPr>
            <w:tcW w:type="dxa" w:w="2353"/>
            <w:shd w:val="clear" w:fill="E3EAF3"/>
          </w:tcPr>
          <w:p>
            <w:pPr>
              <w:bidi w:val="1"/>
              <w:jc w:val="center"/>
            </w:pPr>
            <w:r>
              <w:rPr>
                <w:rFonts w:ascii="Arial" w:hAnsi="Arial" w:cs="Arial"/>
                <w:b/>
                <w:i w:val="0"/>
                <w:color w:val="1F3B63"/>
                <w:sz w:val="21"/>
                <w:szCs w:val="21"/>
                <w:bCs/>
                <w:rtl/>
              </w:rPr>
              <w:t>الحالة</w:t>
            </w:r>
          </w:p>
        </w:tc>
        <w:tc>
          <w:tcPr>
            <w:tcW w:type="dxa" w:w="2353"/>
            <w:shd w:val="clear" w:fill="E3EAF3"/>
          </w:tcPr>
          <w:p>
            <w:pPr>
              <w:bidi w:val="1"/>
              <w:jc w:val="center"/>
            </w:pPr>
            <w:r>
              <w:rPr>
                <w:rFonts w:ascii="Arial" w:hAnsi="Arial" w:cs="Arial"/>
                <w:b/>
                <w:i w:val="0"/>
                <w:color w:val="1F3B63"/>
                <w:sz w:val="21"/>
                <w:szCs w:val="21"/>
                <w:bCs/>
                <w:rtl/>
              </w:rPr>
              <w:t>المُعدّ / المالك</w:t>
            </w:r>
          </w:p>
        </w:tc>
      </w:tr>
      <w:tr>
        <w:tc>
          <w:tcPr>
            <w:tcW w:type="dxa" w:w="2353"/>
          </w:tcPr>
          <w:p>
            <w:pPr>
              <w:bidi w:val="1"/>
              <w:jc w:val="right"/>
            </w:pPr>
            <w:r>
              <w:rPr>
                <w:rFonts w:ascii="Arial" w:hAnsi="Arial" w:cs="Arial"/>
                <w:b w:val="0"/>
                <w:i w:val="0"/>
                <w:sz w:val="21"/>
                <w:szCs w:val="21"/>
                <w:rtl/>
              </w:rPr>
              <w:t>HT-SRS-01</w:t>
            </w:r>
          </w:p>
        </w:tc>
        <w:tc>
          <w:tcPr>
            <w:tcW w:type="dxa" w:w="2353"/>
          </w:tcPr>
          <w:p>
            <w:pPr>
              <w:bidi w:val="1"/>
              <w:jc w:val="right"/>
            </w:pPr>
            <w:r>
              <w:rPr>
                <w:rFonts w:ascii="Arial" w:hAnsi="Arial" w:cs="Arial"/>
                <w:b w:val="0"/>
                <w:i w:val="0"/>
                <w:sz w:val="21"/>
                <w:szCs w:val="21"/>
                <w:rtl/>
              </w:rPr>
              <w:t>3.0</w:t>
            </w:r>
          </w:p>
        </w:tc>
        <w:tc>
          <w:tcPr>
            <w:tcW w:type="dxa" w:w="2353"/>
          </w:tcPr>
          <w:p>
            <w:pPr>
              <w:bidi w:val="1"/>
              <w:jc w:val="right"/>
            </w:pPr>
            <w:r>
              <w:rPr>
                <w:rFonts w:ascii="Arial" w:hAnsi="Arial" w:cs="Arial"/>
                <w:b w:val="0"/>
                <w:i w:val="0"/>
                <w:sz w:val="21"/>
                <w:szCs w:val="21"/>
                <w:rtl/>
              </w:rPr>
              <w:t>خط أساس معتمد — مشروط ببوابات G1–G3</w:t>
            </w:r>
          </w:p>
        </w:tc>
        <w:tc>
          <w:tcPr>
            <w:tcW w:type="dxa" w:w="2353"/>
          </w:tcPr>
          <w:p>
            <w:pPr>
              <w:bidi w:val="1"/>
              <w:jc w:val="right"/>
            </w:pPr>
            <w:r>
              <w:rPr>
                <w:rFonts w:ascii="Arial" w:hAnsi="Arial" w:cs="Arial"/>
                <w:b w:val="0"/>
                <w:i w:val="0"/>
                <w:sz w:val="21"/>
                <w:szCs w:val="21"/>
                <w:rtl/>
              </w:rPr>
              <w:t>المهندس شادي</w:t>
            </w:r>
          </w:p>
        </w:tc>
      </w:tr>
    </w:tbl>
    <w:p>
      <w:pPr>
        <w:spacing w:after="40"/>
      </w:pPr>
    </w:p>
    <w:p>
      <w:pPr>
        <w:bidi w:val="1"/>
        <w:spacing w:before="280" w:after="120"/>
        <w:jc w:val="right"/>
        <w:outlineLvl w:val="0"/>
        <w:pBdr>
          <w:bottom w:val="single" w:sz="6" w:space="2" w:color="1F3B63"/>
        </w:pBdr>
      </w:pPr>
      <w:r>
        <w:rPr>
          <w:rFonts w:ascii="Arial" w:hAnsi="Arial" w:cs="Arial"/>
          <w:b/>
          <w:i w:val="0"/>
          <w:color w:val="1F3B63"/>
          <w:sz w:val="30"/>
          <w:szCs w:val="30"/>
          <w:bCs/>
          <w:rtl/>
        </w:rPr>
        <w:t>1. الغرض</w:t>
      </w:r>
    </w:p>
    <w:p>
      <w:pPr>
        <w:bidi w:val="1"/>
        <w:spacing w:after="80" w:line="276" w:lineRule="auto"/>
        <w:jc w:val="both"/>
      </w:pPr>
      <w:r>
        <w:rPr>
          <w:rFonts w:ascii="Arial" w:hAnsi="Arial" w:cs="Arial"/>
          <w:b w:val="0"/>
          <w:i w:val="0"/>
          <w:sz w:val="22"/>
          <w:szCs w:val="22"/>
          <w:rtl/>
        </w:rPr>
        <w:t>تحديد المتطلبات الوظيفية وغير الوظيفية لتطبيق سطح مكتب على Windows مبني بلغة Python 3.14.5 (PySide6) يتيح ترجمة النصوص من العربية إلى الروسية وبالعكس عبر التفاعل مع مؤشر الفأرة أو النص المحدد.</w:t>
      </w:r>
    </w:p>
    <w:p>
      <w:pPr>
        <w:bidi w:val="1"/>
        <w:spacing w:before="280" w:after="120"/>
        <w:jc w:val="right"/>
        <w:outlineLvl w:val="0"/>
        <w:pBdr>
          <w:bottom w:val="single" w:sz="6" w:space="2" w:color="1F3B63"/>
        </w:pBdr>
      </w:pPr>
      <w:r>
        <w:rPr>
          <w:rFonts w:ascii="Arial" w:hAnsi="Arial" w:cs="Arial"/>
          <w:b/>
          <w:i w:val="0"/>
          <w:color w:val="1F3B63"/>
          <w:sz w:val="30"/>
          <w:szCs w:val="30"/>
          <w:bCs/>
          <w:rtl/>
        </w:rPr>
        <w:t>2. نطاق المنتج</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تطبيق Windows يعمل في الخلفية ويظهر في منطقة النظام (System Tray).</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ترجمة الكلمة أو النص الصغير عند المؤشر باستخدام المشغّل المعتمد.</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ترجمة النص المحدد في نافذة منبثقة (Popup).</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OCR محلي كمسار احتياطي عند تعذر استخراج النص مباشرة.</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إعدادات قابلة للتعديل، وكاش SQLite محلي، ومعالجة أخطاء الشبكة والمزود.</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واجهة عربية وروسية تراعي اتجاه RTL/LTR.</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حماية البيانات، وتقارير أعطال اختيارية بموافقة صريحة فقط.</w:t>
      </w:r>
    </w:p>
    <w:p>
      <w:pPr>
        <w:bidi w:val="1"/>
        <w:spacing w:after="80" w:line="276" w:lineRule="auto"/>
        <w:jc w:val="both"/>
      </w:pPr>
      <w:r>
        <w:rPr>
          <w:rFonts w:ascii="Arial" w:hAnsi="Arial" w:cs="Arial"/>
          <w:b w:val="0"/>
          <w:i w:val="0"/>
          <w:sz w:val="22"/>
          <w:szCs w:val="22"/>
          <w:rtl/>
        </w:rPr>
        <w:t>خارج النطاق في الإصدار الأول: دعم جميع تطبيقات Windows دون استثناء، وضمان استخراج النص من التطبيقات بلا واجهات إتاحة، وادعاء أداء نهائي قبل القياس، وضمان توفر مزود ترجمة خارجي دون التحقق من شروطه.</w:t>
      </w:r>
    </w:p>
    <w:p>
      <w:pPr>
        <w:bidi w:val="1"/>
        <w:spacing w:before="280" w:after="120"/>
        <w:jc w:val="right"/>
        <w:outlineLvl w:val="0"/>
        <w:pBdr>
          <w:bottom w:val="single" w:sz="6" w:space="2" w:color="1F3B63"/>
        </w:pBdr>
      </w:pPr>
      <w:r>
        <w:rPr>
          <w:rFonts w:ascii="Arial" w:hAnsi="Arial" w:cs="Arial"/>
          <w:b/>
          <w:i w:val="0"/>
          <w:color w:val="1F3B63"/>
          <w:sz w:val="30"/>
          <w:szCs w:val="30"/>
          <w:bCs/>
          <w:rtl/>
        </w:rPr>
        <w:t>3. سيناريوهات الاستخدام</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SC-01: يمرر المستخدم المؤشر فوق كلمة ويستخدم المشغّل؛ يظهر Tooltip بالترجمة.</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SC-02: يحدد المستخدم نصًا ويطلب ترجمته؛ تظهر نافذة Popup.</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SC-03: عند تعذر استخراج النص، يمكن استخدام OCR وفق إعدادات الخصوصية والموافقة اللازمة.</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SC-04: عند تعذر تحديد اتجاه النص، يعرض التطبيق حالة غموض واضحة ولا يرسل طلبًا خاطئًا بصمت.</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SC-05: عند انقطاع الشبكة أو فشل المزود، تظهر رسالة مختصرة دون تجميد الواجهة.</w:t>
      </w:r>
    </w:p>
    <w:p>
      <w:pPr>
        <w:bidi w:val="1"/>
        <w:spacing w:before="280" w:after="120"/>
        <w:jc w:val="right"/>
        <w:outlineLvl w:val="0"/>
        <w:pBdr>
          <w:bottom w:val="single" w:sz="6" w:space="2" w:color="1F3B63"/>
        </w:pBdr>
      </w:pPr>
      <w:r>
        <w:rPr>
          <w:rFonts w:ascii="Arial" w:hAnsi="Arial" w:cs="Arial"/>
          <w:b/>
          <w:i w:val="0"/>
          <w:color w:val="1F3B63"/>
          <w:sz w:val="30"/>
          <w:szCs w:val="30"/>
          <w:bCs/>
          <w:rtl/>
        </w:rPr>
        <w:t>4. المتطلبات الوظيفية</w:t>
      </w:r>
    </w:p>
    <w:p>
      <w:pPr>
        <w:bidi w:val="1"/>
        <w:spacing w:after="80" w:line="276" w:lineRule="auto"/>
        <w:jc w:val="both"/>
      </w:pPr>
      <w:r>
        <w:rPr>
          <w:rFonts w:ascii="Arial" w:hAnsi="Arial" w:cs="Arial"/>
          <w:b w:val="0"/>
          <w:i w:val="0"/>
          <w:sz w:val="22"/>
          <w:szCs w:val="22"/>
          <w:rtl/>
        </w:rPr>
        <w:t>FR-01 — ترجمة الكلمة عند المؤشر: يدعم التطبيق ترجمة كلمة أو مقطع صغير عند المؤشر وفق المشغّل المحدد في HT-UX-02. لا تظهر نتيجة تخص سياقًا سابقًا بعد انتقال المؤشر إلى سياق جديد؛ تُلغى الطلبات القديمة وتُتجاهل نتائجها.</w:t>
      </w:r>
    </w:p>
    <w:p>
      <w:pPr>
        <w:bidi w:val="1"/>
        <w:spacing w:after="80" w:line="276" w:lineRule="auto"/>
        <w:jc w:val="both"/>
      </w:pPr>
      <w:r>
        <w:rPr>
          <w:rFonts w:ascii="Arial" w:hAnsi="Arial" w:cs="Arial"/>
          <w:b w:val="0"/>
          <w:i w:val="0"/>
          <w:sz w:val="22"/>
          <w:szCs w:val="22"/>
          <w:rtl/>
        </w:rPr>
        <w:t>FR-02 — ترجمة النص المحدد: يتيح التطبيق ترجمة النص المحدد عبر نافذة Popup. إذا استُخدمت الحافظة، يُحفظ محتواها قبل العملية وتُستعاد صيغه بأمان، مع توثيق الحالات التي لا يمكن ضمان استعادتها كاملة.</w:t>
      </w:r>
    </w:p>
    <w:p>
      <w:pPr>
        <w:bidi w:val="1"/>
        <w:spacing w:after="80" w:line="276" w:lineRule="auto"/>
        <w:jc w:val="both"/>
      </w:pPr>
      <w:r>
        <w:rPr>
          <w:rFonts w:ascii="Arial" w:hAnsi="Arial" w:cs="Arial"/>
          <w:b w:val="0"/>
          <w:i w:val="0"/>
          <w:sz w:val="22"/>
          <w:szCs w:val="22"/>
          <w:rtl/>
        </w:rPr>
        <w:t>FR-03 — استخراج النص وOCR: تُجرَّب واجهات UI Automation أولًا، ويُستخدم OCR كمسار احتياطي. يُسجَّل مصدر النص داخليًا لأغراض التشخيص دون تسجيل المحتوى. لا يُرسل OCR إلى خدمة خارجية إلا بعد إشعار واضح وموافقة.</w:t>
      </w:r>
    </w:p>
    <w:p>
      <w:pPr>
        <w:bidi w:val="1"/>
        <w:spacing w:after="80" w:line="276" w:lineRule="auto"/>
        <w:jc w:val="both"/>
      </w:pPr>
      <w:r>
        <w:rPr>
          <w:rFonts w:ascii="Arial" w:hAnsi="Arial" w:cs="Arial"/>
          <w:b w:val="0"/>
          <w:i w:val="0"/>
          <w:sz w:val="22"/>
          <w:szCs w:val="22"/>
          <w:rtl/>
        </w:rPr>
        <w:t>FR-04 — التخزين المؤقت: كاش LRU على SQLite بحد أقصى ابتدائي 10,000 عنصر و20MB وفق مخطط HT-DB-05. مفتاح الكاش يشمل النص واتجاه الترجمة والمزود/اللغات/إصدار سياسة الكاش. لا تُخزَّن مفاتيح API في الكاش.</w:t>
      </w:r>
    </w:p>
    <w:p>
      <w:pPr>
        <w:bidi w:val="1"/>
        <w:spacing w:after="80" w:line="276" w:lineRule="auto"/>
        <w:jc w:val="both"/>
      </w:pPr>
      <w:r>
        <w:rPr>
          <w:rFonts w:ascii="Arial" w:hAnsi="Arial" w:cs="Arial"/>
          <w:b w:val="0"/>
          <w:i w:val="0"/>
          <w:sz w:val="22"/>
          <w:szCs w:val="22"/>
          <w:rtl/>
        </w:rPr>
        <w:t>FR-05 — منطقة النظام والإعدادات: أيقونة System Tray عبر QSystemTrayIcon، مع فتح الإعدادات والإيقاف المؤقت والخروج. تُحفظ الإعدادات في JSON ضمن %AppData%، وتُحمى الأسرار بـ DPAPI (CryptProtectData بنطاق CurrentUser).</w:t>
      </w:r>
    </w:p>
    <w:p>
      <w:pPr>
        <w:bidi w:val="1"/>
        <w:spacing w:after="80" w:line="276" w:lineRule="auto"/>
        <w:jc w:val="both"/>
      </w:pPr>
      <w:r>
        <w:rPr>
          <w:rFonts w:ascii="Arial" w:hAnsi="Arial" w:cs="Arial"/>
          <w:b w:val="0"/>
          <w:i w:val="0"/>
          <w:sz w:val="22"/>
          <w:szCs w:val="22"/>
          <w:rtl/>
        </w:rPr>
        <w:t>FR-06 — العربية والروسية: واجهة عربية وروسية مع ضبط RTL/LTR تلقائيًا بحسب اللغة. اختبار النص المختلط والأرقام والرموز وعلامات الترقيم إلزامي.</w:t>
      </w:r>
    </w:p>
    <w:p>
      <w:pPr>
        <w:bidi w:val="1"/>
        <w:spacing w:after="80" w:line="276" w:lineRule="auto"/>
        <w:jc w:val="both"/>
      </w:pPr>
      <w:r>
        <w:rPr>
          <w:rFonts w:ascii="Arial" w:hAnsi="Arial" w:cs="Arial"/>
          <w:b w:val="0"/>
          <w:i w:val="0"/>
          <w:sz w:val="22"/>
          <w:szCs w:val="22"/>
          <w:rtl/>
        </w:rPr>
        <w:t>FR-07 — كشف اتجاه النص: كشف مبني على تحليل محارف Unicode (عربية/سيريلية). عتبة البداية 60% من الحروف القابلة للتصنيف؛ إذا كان العدد أقل من 6 أو لم يتجاوز أي اتجاه العتبة فالاتجاه غامض.</w:t>
      </w:r>
    </w:p>
    <w:p>
      <w:pPr>
        <w:bidi w:val="1"/>
        <w:spacing w:after="80" w:line="276" w:lineRule="auto"/>
        <w:jc w:val="both"/>
      </w:pPr>
      <w:r>
        <w:rPr>
          <w:rFonts w:ascii="Arial" w:hAnsi="Arial" w:cs="Arial"/>
          <w:b w:val="0"/>
          <w:i w:val="0"/>
          <w:sz w:val="22"/>
          <w:szCs w:val="22"/>
          <w:rtl/>
        </w:rPr>
        <w:t>FR-08 — إلغاء الطلبات والنتائج القديمة: إلغاء الطلبات غير اللازمة (asyncio cancellation في httpx) وتجاهل النتائج القديمة حتى إن تعذر الإلغاء لدى المزود.</w:t>
      </w:r>
    </w:p>
    <w:p>
      <w:pPr>
        <w:bidi w:val="1"/>
        <w:spacing w:after="80" w:line="276" w:lineRule="auto"/>
        <w:jc w:val="both"/>
      </w:pPr>
      <w:r>
        <w:rPr>
          <w:rFonts w:ascii="Arial" w:hAnsi="Arial" w:cs="Arial"/>
          <w:b w:val="0"/>
          <w:i w:val="0"/>
          <w:sz w:val="22"/>
          <w:szCs w:val="22"/>
          <w:rtl/>
        </w:rPr>
        <w:t>FR-09 — أخطاء الشبكة والمزود: إظهار حالة خطأ مفهومة عند الفشل، مع مهلة 4 ثوانٍ وإعادة محاولة واحدة وقاطع دائرة (5 إخفاقات/60 ثانية، فتح بعد 30 ثانية). لا يؤدي فشل المزود إلى تجميد الواجهة.</w:t>
      </w:r>
    </w:p>
    <w:p>
      <w:pPr>
        <w:bidi w:val="1"/>
        <w:spacing w:after="80" w:line="276" w:lineRule="auto"/>
        <w:jc w:val="both"/>
      </w:pPr>
      <w:r>
        <w:rPr>
          <w:rFonts w:ascii="Arial" w:hAnsi="Arial" w:cs="Arial"/>
          <w:b w:val="0"/>
          <w:i w:val="0"/>
          <w:sz w:val="22"/>
          <w:szCs w:val="22"/>
          <w:rtl/>
        </w:rPr>
        <w:t>FR-10 — تقارير الأعطال: اختيارية بموافقة صريحة (Opt-in)؛ الرفض هو الافتراضي. يُمنع منعًا باتًا إرسال النص المحدد أو الترجمات أو مفاتيح API في السجلات أو تقارير الأعطال.</w:t>
      </w:r>
    </w:p>
    <w:p>
      <w:pPr>
        <w:bidi w:val="1"/>
        <w:spacing w:after="80" w:line="276" w:lineRule="auto"/>
        <w:jc w:val="both"/>
      </w:pPr>
      <w:r>
        <w:rPr>
          <w:rFonts w:ascii="Arial" w:hAnsi="Arial" w:cs="Arial"/>
          <w:b w:val="0"/>
          <w:i w:val="0"/>
          <w:sz w:val="22"/>
          <w:szCs w:val="22"/>
          <w:rtl/>
        </w:rPr>
        <w:t>FR-11 — التثبيت والتحديث: حزمة توزيع عبر PyInstaller (مجلد محمول أو مثبّت) موقّعة رقميًا، مع توثيق التحقق من التوقيع ومعالجة فشل التحديث والإزالة النظيفة. التحديث التلقائي يُرحَّل للإصدار الثاني.</w:t>
      </w:r>
    </w:p>
    <w:p>
      <w:pPr>
        <w:bidi w:val="1"/>
        <w:spacing w:after="80" w:line="276" w:lineRule="auto"/>
        <w:jc w:val="both"/>
      </w:pPr>
      <w:r>
        <w:rPr>
          <w:rFonts w:ascii="Arial" w:hAnsi="Arial" w:cs="Arial"/>
          <w:b w:val="0"/>
          <w:i w:val="0"/>
          <w:sz w:val="22"/>
          <w:szCs w:val="22"/>
          <w:rtl/>
        </w:rPr>
        <w:t>FR-12 — الإيقاف الآمن: الإيقاف المؤقت أو الخروج يوقف مراقبة الإدخال وطلبات OCR/الترجمة الجديدة، وتُلغى الطلبات المعلقة أو تُتجاهل نتائجها ولا تُرسل بيانات بعد الإيقاف.</w:t>
      </w:r>
    </w:p>
    <w:p>
      <w:pPr>
        <w:bidi w:val="1"/>
        <w:spacing w:after="80" w:line="276" w:lineRule="auto"/>
        <w:jc w:val="both"/>
      </w:pPr>
      <w:r>
        <w:rPr>
          <w:rFonts w:ascii="Arial" w:hAnsi="Arial" w:cs="Arial"/>
          <w:b w:val="0"/>
          <w:i w:val="0"/>
          <w:sz w:val="22"/>
          <w:szCs w:val="22"/>
          <w:rtl/>
        </w:rPr>
        <w:t>FR-13 — حدود النص: النص المحدد لا يتجاوز 500 حرف؛ ما تجاوز يُقتطع وفق سياسة واضحة مع تنبيه للمستخدم. تُختبر حدود المزودين والتكلفة والخصوصية قبل اعتماد حد الإنتاج النهائي.</w:t>
      </w:r>
    </w:p>
    <w:p>
      <w:pPr>
        <w:bidi w:val="1"/>
        <w:spacing w:before="280" w:after="120"/>
        <w:jc w:val="right"/>
        <w:outlineLvl w:val="0"/>
        <w:pBdr>
          <w:bottom w:val="single" w:sz="6" w:space="2" w:color="1F3B63"/>
        </w:pBdr>
      </w:pPr>
      <w:r>
        <w:rPr>
          <w:rFonts w:ascii="Arial" w:hAnsi="Arial" w:cs="Arial"/>
          <w:b/>
          <w:i w:val="0"/>
          <w:color w:val="1F3B63"/>
          <w:sz w:val="30"/>
          <w:szCs w:val="30"/>
          <w:bCs/>
          <w:rtl/>
        </w:rPr>
        <w:t>5. المتطلبات غير الوظيفية</w:t>
      </w:r>
    </w:p>
    <w:p>
      <w:pPr>
        <w:bidi w:val="1"/>
        <w:spacing w:after="80" w:line="276" w:lineRule="auto"/>
        <w:jc w:val="both"/>
      </w:pPr>
      <w:r>
        <w:rPr>
          <w:rFonts w:ascii="Arial" w:hAnsi="Arial" w:cs="Arial"/>
          <w:b w:val="0"/>
          <w:i w:val="0"/>
          <w:sz w:val="22"/>
          <w:szCs w:val="22"/>
          <w:rtl/>
        </w:rPr>
        <w:t>تُفصَّل في HT-NFR-03. جميع أرقام الأداء أهداف أولية لا نتائج مثبتة: سرعة الاستجابة المحلية، حماية الخصوصية والأسرار، التوافق مع التطبيقات المستهدفة وإعدادات DPI، الاستقرار، وإتاحة استخدام الواجهة بلوحة المفاتيح وتقنيات الوصول.</w:t>
      </w:r>
    </w:p>
    <w:p>
      <w:pPr>
        <w:bidi w:val="1"/>
        <w:spacing w:before="280" w:after="120"/>
        <w:jc w:val="right"/>
        <w:outlineLvl w:val="0"/>
        <w:pBdr>
          <w:bottom w:val="single" w:sz="6" w:space="2" w:color="1F3B63"/>
        </w:pBdr>
      </w:pPr>
      <w:r>
        <w:rPr>
          <w:rFonts w:ascii="Arial" w:hAnsi="Arial" w:cs="Arial"/>
          <w:b/>
          <w:i w:val="0"/>
          <w:color w:val="1F3B63"/>
          <w:sz w:val="30"/>
          <w:szCs w:val="30"/>
          <w:bCs/>
          <w:rtl/>
        </w:rPr>
        <w:t>6. التطبيقات المستهدفة مبدئيًا</w:t>
      </w:r>
    </w:p>
    <w:p>
      <w:pPr>
        <w:bidi w:val="1"/>
        <w:spacing w:after="80" w:line="276" w:lineRule="auto"/>
        <w:jc w:val="both"/>
      </w:pPr>
      <w:r>
        <w:rPr>
          <w:rFonts w:ascii="Arial" w:hAnsi="Arial" w:cs="Arial"/>
          <w:b w:val="0"/>
          <w:i w:val="0"/>
          <w:sz w:val="22"/>
          <w:szCs w:val="22"/>
          <w:rtl/>
        </w:rPr>
        <w:t>Google Chrome وMicrosoft Edge، Firefox، Microsoft Word وNotepad، Visual Studio Code، Adobe Acrobat Reader. التغطية الفعلية لكل تطبيق تُثبت عبر بوابة G1 ولا يُفترض أن جميع آليات الاستخراج تعمل في جميع التطبيقات.</w:t>
      </w:r>
    </w:p>
    <w:p>
      <w:pPr>
        <w:bidi w:val="1"/>
        <w:spacing w:before="280" w:after="120"/>
        <w:jc w:val="right"/>
        <w:outlineLvl w:val="0"/>
        <w:pBdr>
          <w:bottom w:val="single" w:sz="6" w:space="2" w:color="1F3B63"/>
        </w:pBdr>
      </w:pPr>
      <w:r>
        <w:rPr>
          <w:rFonts w:ascii="Arial" w:hAnsi="Arial" w:cs="Arial"/>
          <w:b/>
          <w:i w:val="0"/>
          <w:color w:val="1F3B63"/>
          <w:sz w:val="30"/>
          <w:szCs w:val="30"/>
          <w:bCs/>
          <w:rtl/>
        </w:rPr>
        <w:t>7. معايير القبول العامة</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اجتياز حالات الاختبار الحرجة والخصوصية (HT-TEST-09).</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إثبات سلوك المشغّل في بوابة G2 (F9 افتراضيًا، Alt اختياري).</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تقرير قياس أداء موثق على جهاز مرجعي يعمل بـ Python 3.14.5.</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لا عيوب حرجة أو عالية مفتوحة عند الإصدار.</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إغلاق G1–G3 أو قرار رسمي موثق بشأن أي نطاق مستثنى.</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مراجعة خصوصية نهائية وتوقيع حزم التثبيت.</w:t>
      </w:r>
    </w:p>
    <w:p>
      <w:pPr>
        <w:bidi w:val="1"/>
        <w:spacing w:before="280" w:after="120"/>
        <w:jc w:val="right"/>
        <w:outlineLvl w:val="0"/>
        <w:pBdr>
          <w:bottom w:val="single" w:sz="6" w:space="2" w:color="1F3B63"/>
        </w:pBdr>
      </w:pPr>
      <w:r>
        <w:rPr>
          <w:rFonts w:ascii="Arial" w:hAnsi="Arial" w:cs="Arial"/>
          <w:b/>
          <w:i w:val="0"/>
          <w:color w:val="1F3B63"/>
          <w:sz w:val="30"/>
          <w:szCs w:val="30"/>
          <w:bCs/>
          <w:rtl/>
        </w:rPr>
        <w:t>8. بوابات القرار</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G1 — استخراج النص: قياس تغطية UIA/الحافظة/OCR على التطبيقات المستهدفة.</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G2 — المشغّل: إثبات سلامة F9 ودراسة تداخل Alt مع التطبيقات المضيفة.</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G3 — المزود وOCR: تقييم جودة الترجمة وزمن الاستجابة والتكلفة والخصوصية وتوافر اللغات، وحسم محرك OCR المتوافق مع Python 3.14.</w:t>
      </w:r>
    </w:p>
    <w:p>
      <w:pPr>
        <w:bidi w:val="1"/>
        <w:spacing w:before="280" w:after="120"/>
        <w:jc w:val="right"/>
        <w:outlineLvl w:val="0"/>
        <w:pBdr>
          <w:bottom w:val="single" w:sz="6" w:space="2" w:color="1F3B63"/>
        </w:pBdr>
      </w:pPr>
      <w:r>
        <w:rPr>
          <w:rFonts w:ascii="Arial" w:hAnsi="Arial" w:cs="Arial"/>
          <w:b/>
          <w:i w:val="0"/>
          <w:color w:val="1F3B63"/>
          <w:sz w:val="30"/>
          <w:szCs w:val="30"/>
          <w:bCs/>
          <w:rtl/>
        </w:rPr>
        <w:t>9. المستندات المرتبطة</w:t>
      </w:r>
    </w:p>
    <w:p>
      <w:pPr>
        <w:bidi w:val="1"/>
        <w:spacing w:after="80" w:line="276" w:lineRule="auto"/>
        <w:jc w:val="both"/>
      </w:pPr>
      <w:r>
        <w:rPr>
          <w:rFonts w:ascii="Arial" w:hAnsi="Arial" w:cs="Arial"/>
          <w:b w:val="0"/>
          <w:i w:val="0"/>
          <w:sz w:val="22"/>
          <w:szCs w:val="22"/>
          <w:rtl/>
        </w:rPr>
        <w:t>HT-UX-02، HT-NFR-03، HT-ARCH-04، HT-DB-05، HT-API-06، HT-TEST-09، HT-PACKAGE-01 (فهرس الاعتماد ضمن 00_README).</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Arial" w:hAnsi="Arial" w:cs="Arial"/>
        <w:b w:val="0"/>
        <w:i w:val="0"/>
        <w:color w:val="888888"/>
        <w:sz w:val="18"/>
        <w:szCs w:val="18"/>
        <w:rtl/>
      </w:rPr>
      <w:t>HOVERTRANSLATE — HT-SRS-01 — الإصدار 3.0 — إعداد: م. شادي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