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bidi w:val="1"/>
        <w:jc w:val="center"/>
      </w:pPr>
      <w:r>
        <w:rPr>
          <w:rFonts w:ascii="Arial" w:hAnsi="Arial" w:cs="Arial"/>
          <w:b/>
          <w:i w:val="0"/>
          <w:color w:val="1F3B63"/>
          <w:sz w:val="60"/>
          <w:szCs w:val="60"/>
          <w:bCs/>
          <w:rtl/>
        </w:rPr>
        <w:t>HOVERTRANSLATE</w:t>
      </w:r>
    </w:p>
    <w:p>
      <w:pPr>
        <w:bidi w:val="1"/>
        <w:jc w:val="center"/>
      </w:pPr>
      <w:r>
        <w:rPr>
          <w:rFonts w:ascii="Arial" w:hAnsi="Arial" w:cs="Arial"/>
          <w:b w:val="0"/>
          <w:i w:val="0"/>
          <w:color w:val="2E5E8C"/>
          <w:sz w:val="28"/>
          <w:szCs w:val="28"/>
          <w:rtl/>
        </w:rPr>
        <w:t>ترجمة فورية بنقرة واحدة — تطبيق Windows بلغة Python</w:t>
      </w:r>
    </w:p>
    <w:p/>
    <w:p>
      <w:pPr>
        <w:bidi w:val="1"/>
        <w:jc w:val="center"/>
      </w:pPr>
      <w:r>
        <w:rPr>
          <w:rFonts w:ascii="Arial" w:hAnsi="Arial" w:cs="Arial"/>
          <w:b/>
          <w:i w:val="0"/>
          <w:sz w:val="40"/>
          <w:szCs w:val="40"/>
          <w:bCs/>
          <w:rtl/>
        </w:rPr>
        <w:t>مواصفة تجربة المستخدم والمشغّلات</w:t>
      </w:r>
    </w:p>
    <w:p>
      <w:pPr>
        <w:bidi w:val="1"/>
        <w:jc w:val="center"/>
      </w:pPr>
      <w:r>
        <w:rPr>
          <w:rFonts w:ascii="Arial" w:hAnsi="Arial" w:cs="Arial"/>
          <w:b w:val="0"/>
          <w:i w:val="0"/>
          <w:color w:val="2E5E8C"/>
          <w:sz w:val="24"/>
          <w:szCs w:val="24"/>
          <w:rtl/>
        </w:rPr>
        <w:t>حزمة الوثائق الهندسية المعتمدة — نسخة تنفيذ Python 3.14.5</w:t>
      </w:r>
    </w:p>
    <w:p/>
    <w:p/>
    <w:tbl>
      <w:tblPr>
        <w:tblStyle w:val="TableGrid"/>
        <w:tblW w:type="auto" w:w="0"/>
        <w:tblLook w:firstColumn="1" w:firstRow="1" w:lastColumn="0" w:lastRow="0" w:noHBand="0" w:noVBand="1" w:val="04A0"/>
        <w:bidiVisual/>
      </w:tblPr>
      <w:tblGrid>
        <w:gridCol w:w="4706"/>
        <w:gridCol w:w="4706"/>
      </w:tblGrid>
      <w:tr>
        <w:tc>
          <w:tcPr>
            <w:tcW w:type="dxa" w:w="4706"/>
            <w:shd w:val="clear" w:fill="E3EAF3"/>
          </w:tcPr>
          <w:p>
            <w:pPr>
              <w:bidi w:val="1"/>
              <w:jc w:val="center"/>
            </w:pPr>
            <w:r>
              <w:rPr>
                <w:rFonts w:ascii="Arial" w:hAnsi="Arial" w:cs="Arial"/>
                <w:b/>
                <w:i w:val="0"/>
                <w:color w:val="1F3B63"/>
                <w:sz w:val="21"/>
                <w:szCs w:val="21"/>
                <w:bCs/>
                <w:rtl/>
              </w:rPr>
              <w:t>البند</w:t>
            </w:r>
          </w:p>
        </w:tc>
        <w:tc>
          <w:tcPr>
            <w:tcW w:type="dxa" w:w="4706"/>
            <w:shd w:val="clear" w:fill="E3EAF3"/>
          </w:tcPr>
          <w:p>
            <w:pPr>
              <w:bidi w:val="1"/>
              <w:jc w:val="center"/>
            </w:pPr>
            <w:r>
              <w:rPr>
                <w:rFonts w:ascii="Arial" w:hAnsi="Arial" w:cs="Arial"/>
                <w:b/>
                <w:i w:val="0"/>
                <w:color w:val="1F3B63"/>
                <w:sz w:val="21"/>
                <w:szCs w:val="21"/>
                <w:bCs/>
                <w:rtl/>
              </w:rPr>
              <w:t>القيمة</w:t>
            </w:r>
          </w:p>
        </w:tc>
      </w:tr>
      <w:tr>
        <w:tc>
          <w:tcPr>
            <w:tcW w:type="dxa" w:w="4706"/>
          </w:tcPr>
          <w:p>
            <w:pPr>
              <w:bidi w:val="1"/>
              <w:jc w:val="right"/>
            </w:pPr>
            <w:r>
              <w:rPr>
                <w:rFonts w:ascii="Arial" w:hAnsi="Arial" w:cs="Arial"/>
                <w:b w:val="0"/>
                <w:i w:val="0"/>
                <w:sz w:val="21"/>
                <w:szCs w:val="21"/>
                <w:rtl/>
              </w:rPr>
              <w:t>رمز الوثيقة</w:t>
            </w:r>
          </w:p>
        </w:tc>
        <w:tc>
          <w:tcPr>
            <w:tcW w:type="dxa" w:w="4706"/>
          </w:tcPr>
          <w:p>
            <w:pPr>
              <w:bidi w:val="1"/>
              <w:jc w:val="right"/>
            </w:pPr>
            <w:r>
              <w:rPr>
                <w:rFonts w:ascii="Arial" w:hAnsi="Arial" w:cs="Arial"/>
                <w:b w:val="0"/>
                <w:i w:val="0"/>
                <w:sz w:val="21"/>
                <w:szCs w:val="21"/>
                <w:rtl/>
              </w:rPr>
              <w:t>HT-UX-02</w:t>
            </w:r>
          </w:p>
        </w:tc>
      </w:tr>
      <w:tr>
        <w:tc>
          <w:tcPr>
            <w:tcW w:type="dxa" w:w="4706"/>
          </w:tcPr>
          <w:p>
            <w:pPr>
              <w:bidi w:val="1"/>
              <w:jc w:val="right"/>
            </w:pPr>
            <w:r>
              <w:rPr>
                <w:rFonts w:ascii="Arial" w:hAnsi="Arial" w:cs="Arial"/>
                <w:b w:val="0"/>
                <w:i w:val="0"/>
                <w:sz w:val="21"/>
                <w:szCs w:val="21"/>
                <w:rtl/>
              </w:rPr>
              <w:t>الإصدار</w:t>
            </w:r>
          </w:p>
        </w:tc>
        <w:tc>
          <w:tcPr>
            <w:tcW w:type="dxa" w:w="4706"/>
          </w:tcPr>
          <w:p>
            <w:pPr>
              <w:bidi w:val="1"/>
              <w:jc w:val="right"/>
            </w:pPr>
            <w:r>
              <w:rPr>
                <w:rFonts w:ascii="Arial" w:hAnsi="Arial" w:cs="Arial"/>
                <w:b w:val="0"/>
                <w:i w:val="0"/>
                <w:sz w:val="21"/>
                <w:szCs w:val="21"/>
                <w:rtl/>
              </w:rPr>
              <w:t>3.0 — نسخة Python 3.14.5 المعتمدة</w:t>
            </w:r>
          </w:p>
        </w:tc>
      </w:tr>
      <w:tr>
        <w:tc>
          <w:tcPr>
            <w:tcW w:type="dxa" w:w="4706"/>
          </w:tcPr>
          <w:p>
            <w:pPr>
              <w:bidi w:val="1"/>
              <w:jc w:val="right"/>
            </w:pPr>
            <w:r>
              <w:rPr>
                <w:rFonts w:ascii="Arial" w:hAnsi="Arial" w:cs="Arial"/>
                <w:b w:val="0"/>
                <w:i w:val="0"/>
                <w:sz w:val="21"/>
                <w:szCs w:val="21"/>
                <w:rtl/>
              </w:rPr>
              <w:t>الحالة</w:t>
            </w:r>
          </w:p>
        </w:tc>
        <w:tc>
          <w:tcPr>
            <w:tcW w:type="dxa" w:w="4706"/>
          </w:tcPr>
          <w:p>
            <w:pPr>
              <w:bidi w:val="1"/>
              <w:jc w:val="right"/>
            </w:pPr>
            <w:r>
              <w:rPr>
                <w:rFonts w:ascii="Arial" w:hAnsi="Arial" w:cs="Arial"/>
                <w:b w:val="0"/>
                <w:i w:val="0"/>
                <w:sz w:val="21"/>
                <w:szCs w:val="21"/>
                <w:rtl/>
              </w:rPr>
              <w:t>خط أساس معتمد — مشروط ببوابات G1–G3</w:t>
            </w:r>
          </w:p>
        </w:tc>
      </w:tr>
      <w:tr>
        <w:tc>
          <w:tcPr>
            <w:tcW w:type="dxa" w:w="4706"/>
          </w:tcPr>
          <w:p>
            <w:pPr>
              <w:bidi w:val="1"/>
              <w:jc w:val="right"/>
            </w:pPr>
            <w:r>
              <w:rPr>
                <w:rFonts w:ascii="Arial" w:hAnsi="Arial" w:cs="Arial"/>
                <w:b w:val="0"/>
                <w:i w:val="0"/>
                <w:sz w:val="21"/>
                <w:szCs w:val="21"/>
                <w:rtl/>
              </w:rPr>
              <w:t>المُعدّ / المالك</w:t>
            </w:r>
          </w:p>
        </w:tc>
        <w:tc>
          <w:tcPr>
            <w:tcW w:type="dxa" w:w="4706"/>
          </w:tcPr>
          <w:p>
            <w:pPr>
              <w:bidi w:val="1"/>
              <w:jc w:val="right"/>
            </w:pPr>
            <w:r>
              <w:rPr>
                <w:rFonts w:ascii="Arial" w:hAnsi="Arial" w:cs="Arial"/>
                <w:b w:val="0"/>
                <w:i w:val="0"/>
                <w:sz w:val="21"/>
                <w:szCs w:val="21"/>
                <w:rtl/>
              </w:rPr>
              <w:t>المهندس شادي</w:t>
            </w:r>
          </w:p>
        </w:tc>
      </w:tr>
      <w:tr>
        <w:tc>
          <w:tcPr>
            <w:tcW w:type="dxa" w:w="4706"/>
          </w:tcPr>
          <w:p>
            <w:pPr>
              <w:bidi w:val="1"/>
              <w:jc w:val="right"/>
            </w:pPr>
            <w:r>
              <w:rPr>
                <w:rFonts w:ascii="Arial" w:hAnsi="Arial" w:cs="Arial"/>
                <w:b w:val="0"/>
                <w:i w:val="0"/>
                <w:sz w:val="21"/>
                <w:szCs w:val="21"/>
                <w:rtl/>
              </w:rPr>
              <w:t>تاريخ الإعداد</w:t>
            </w:r>
          </w:p>
        </w:tc>
        <w:tc>
          <w:tcPr>
            <w:tcW w:type="dxa" w:w="4706"/>
          </w:tcPr>
          <w:p>
            <w:pPr>
              <w:bidi w:val="1"/>
              <w:jc w:val="right"/>
            </w:pPr>
            <w:r>
              <w:rPr>
                <w:rFonts w:ascii="Arial" w:hAnsi="Arial" w:cs="Arial"/>
                <w:b w:val="0"/>
                <w:i w:val="0"/>
                <w:sz w:val="21"/>
                <w:szCs w:val="21"/>
                <w:rtl/>
              </w:rPr>
              <w:t>21 أكتوبر 2026</w:t>
            </w:r>
          </w:p>
        </w:tc>
      </w:tr>
    </w:tbl>
    <w:p>
      <w:pPr>
        <w:spacing w:after="40"/>
      </w:pPr>
    </w:p>
    <w:p/>
    <w:p/>
    <w:p>
      <w:pPr>
        <w:bidi w:val="1"/>
        <w:jc w:val="center"/>
      </w:pPr>
      <w:r>
        <w:rPr>
          <w:rFonts w:ascii="Arial" w:hAnsi="Arial" w:cs="Arial"/>
          <w:b/>
          <w:i w:val="0"/>
          <w:color w:val="1F3B63"/>
          <w:sz w:val="32"/>
          <w:szCs w:val="32"/>
          <w:bCs/>
          <w:rtl/>
        </w:rPr>
        <w:t>إعداد: م. شادي</w:t>
      </w:r>
    </w:p>
    <w:p>
      <w:r>
        <w:br w:type="page"/>
      </w:r>
    </w:p>
    <w:p>
      <w:pPr>
        <w:bidi w:val="1"/>
        <w:spacing w:before="280" w:after="120"/>
        <w:jc w:val="right"/>
        <w:outlineLvl w:val="0"/>
        <w:pBdr>
          <w:bottom w:val="single" w:sz="6" w:space="2" w:color="1F3B63"/>
        </w:pBdr>
      </w:pPr>
      <w:r>
        <w:rPr>
          <w:rFonts w:ascii="Arial" w:hAnsi="Arial" w:cs="Arial"/>
          <w:b/>
          <w:i w:val="0"/>
          <w:color w:val="1F3B63"/>
          <w:sz w:val="30"/>
          <w:szCs w:val="30"/>
          <w:bCs/>
          <w:rtl/>
        </w:rPr>
        <w:t>الفهرس</w:t>
      </w:r>
    </w:p>
    <w:p>
      <w:pPr>
        <w:bidi w:val="1"/>
        <w:jc w:val="right"/>
      </w:pPr>
      <w:r>
        <w:rPr>
          <w:rFonts w:ascii="Arial" w:hAnsi="Arial" w:cs="Arial"/>
          <w:b/>
          <w:i w:val="0"/>
          <w:sz w:val="22"/>
          <w:szCs w:val="22"/>
          <w:bCs/>
          <w:rtl/>
        </w:rPr>
        <w:t>1. الهدف</w:t>
      </w:r>
    </w:p>
    <w:p>
      <w:pPr>
        <w:bidi w:val="1"/>
        <w:jc w:val="right"/>
      </w:pPr>
      <w:r>
        <w:rPr>
          <w:rFonts w:ascii="Arial" w:hAnsi="Arial" w:cs="Arial"/>
          <w:b/>
          <w:i w:val="0"/>
          <w:sz w:val="22"/>
          <w:szCs w:val="22"/>
          <w:bCs/>
          <w:rtl/>
        </w:rPr>
        <w:t>2. مشغّل الترجمة</w:t>
      </w:r>
    </w:p>
    <w:p>
      <w:pPr>
        <w:bidi w:val="1"/>
        <w:jc w:val="right"/>
      </w:pPr>
      <w:r>
        <w:rPr>
          <w:rFonts w:ascii="Arial" w:hAnsi="Arial" w:cs="Arial"/>
          <w:b/>
          <w:i w:val="0"/>
          <w:sz w:val="22"/>
          <w:szCs w:val="22"/>
          <w:bCs/>
          <w:rtl/>
        </w:rPr>
        <w:t>3. التفاعل عند المؤشر</w:t>
      </w:r>
    </w:p>
    <w:p>
      <w:pPr>
        <w:bidi w:val="1"/>
        <w:jc w:val="right"/>
      </w:pPr>
      <w:r>
        <w:rPr>
          <w:rFonts w:ascii="Arial" w:hAnsi="Arial" w:cs="Arial"/>
          <w:b/>
          <w:i w:val="0"/>
          <w:sz w:val="22"/>
          <w:szCs w:val="22"/>
          <w:bCs/>
          <w:rtl/>
        </w:rPr>
        <w:t>4. التفاعل مع النص المحدد</w:t>
      </w:r>
    </w:p>
    <w:p>
      <w:pPr>
        <w:bidi w:val="1"/>
        <w:jc w:val="right"/>
      </w:pPr>
      <w:r>
        <w:rPr>
          <w:rFonts w:ascii="Arial" w:hAnsi="Arial" w:cs="Arial"/>
          <w:b/>
          <w:i w:val="0"/>
          <w:sz w:val="22"/>
          <w:szCs w:val="22"/>
          <w:bCs/>
          <w:rtl/>
        </w:rPr>
        <w:t>5. الإخفاء والإيقاف</w:t>
      </w:r>
    </w:p>
    <w:p>
      <w:pPr>
        <w:bidi w:val="1"/>
        <w:jc w:val="right"/>
      </w:pPr>
      <w:r>
        <w:rPr>
          <w:rFonts w:ascii="Arial" w:hAnsi="Arial" w:cs="Arial"/>
          <w:b/>
          <w:i w:val="0"/>
          <w:sz w:val="22"/>
          <w:szCs w:val="22"/>
          <w:bCs/>
          <w:rtl/>
        </w:rPr>
        <w:t>6. السياقات المستثناة</w:t>
      </w:r>
    </w:p>
    <w:p>
      <w:pPr>
        <w:bidi w:val="1"/>
        <w:jc w:val="right"/>
      </w:pPr>
      <w:r>
        <w:rPr>
          <w:rFonts w:ascii="Arial" w:hAnsi="Arial" w:cs="Arial"/>
          <w:b/>
          <w:i w:val="0"/>
          <w:sz w:val="22"/>
          <w:szCs w:val="22"/>
          <w:bCs/>
          <w:rtl/>
        </w:rPr>
        <w:t>7. OCR</w:t>
      </w:r>
    </w:p>
    <w:p>
      <w:pPr>
        <w:bidi w:val="1"/>
        <w:jc w:val="right"/>
      </w:pPr>
      <w:r>
        <w:rPr>
          <w:rFonts w:ascii="Arial" w:hAnsi="Arial" w:cs="Arial"/>
          <w:b/>
          <w:i w:val="0"/>
          <w:sz w:val="22"/>
          <w:szCs w:val="22"/>
          <w:bCs/>
          <w:rtl/>
        </w:rPr>
        <w:t>8. أخطاء المزود والشبكة</w:t>
      </w:r>
    </w:p>
    <w:p>
      <w:pPr>
        <w:bidi w:val="1"/>
        <w:jc w:val="right"/>
      </w:pPr>
      <w:r>
        <w:rPr>
          <w:rFonts w:ascii="Arial" w:hAnsi="Arial" w:cs="Arial"/>
          <w:b/>
          <w:i w:val="0"/>
          <w:sz w:val="22"/>
          <w:szCs w:val="22"/>
          <w:bCs/>
          <w:rtl/>
        </w:rPr>
        <w:t>9. الإتاحة واللغات</w:t>
      </w:r>
    </w:p>
    <w:p>
      <w:pPr>
        <w:bidi w:val="1"/>
        <w:jc w:val="right"/>
      </w:pPr>
      <w:r>
        <w:rPr>
          <w:rFonts w:ascii="Arial" w:hAnsi="Arial" w:cs="Arial"/>
          <w:b/>
          <w:i w:val="0"/>
          <w:sz w:val="22"/>
          <w:szCs w:val="22"/>
          <w:bCs/>
          <w:rtl/>
        </w:rPr>
        <w:t>10. حالات الاختبار المرتبطة</w:t>
      </w:r>
    </w:p>
    <w:p>
      <w:r>
        <w:br w:type="page"/>
      </w:r>
    </w:p>
    <w:tbl>
      <w:tblPr>
        <w:tblStyle w:val="TableGrid"/>
        <w:tblW w:type="auto" w:w="0"/>
        <w:tblLook w:firstColumn="1" w:firstRow="1" w:lastColumn="0" w:lastRow="0" w:noHBand="0" w:noVBand="1" w:val="04A0"/>
        <w:bidiVisual/>
      </w:tblPr>
      <w:tblGrid>
        <w:gridCol w:w="2353"/>
        <w:gridCol w:w="2353"/>
        <w:gridCol w:w="2353"/>
        <w:gridCol w:w="2353"/>
      </w:tblGrid>
      <w:tr>
        <w:tc>
          <w:tcPr>
            <w:tcW w:type="dxa" w:w="2353"/>
            <w:shd w:val="clear" w:fill="E3EAF3"/>
          </w:tcPr>
          <w:p>
            <w:pPr>
              <w:bidi w:val="1"/>
              <w:jc w:val="center"/>
            </w:pPr>
            <w:r>
              <w:rPr>
                <w:rFonts w:ascii="Arial" w:hAnsi="Arial" w:cs="Arial"/>
                <w:b/>
                <w:i w:val="0"/>
                <w:color w:val="1F3B63"/>
                <w:sz w:val="21"/>
                <w:szCs w:val="21"/>
                <w:bCs/>
                <w:rtl/>
              </w:rPr>
              <w:t>رمز الوثيقة</w:t>
            </w:r>
          </w:p>
        </w:tc>
        <w:tc>
          <w:tcPr>
            <w:tcW w:type="dxa" w:w="2353"/>
            <w:shd w:val="clear" w:fill="E3EAF3"/>
          </w:tcPr>
          <w:p>
            <w:pPr>
              <w:bidi w:val="1"/>
              <w:jc w:val="center"/>
            </w:pPr>
            <w:r>
              <w:rPr>
                <w:rFonts w:ascii="Arial" w:hAnsi="Arial" w:cs="Arial"/>
                <w:b/>
                <w:i w:val="0"/>
                <w:color w:val="1F3B63"/>
                <w:sz w:val="21"/>
                <w:szCs w:val="21"/>
                <w:bCs/>
                <w:rtl/>
              </w:rPr>
              <w:t>الإصدار</w:t>
            </w:r>
          </w:p>
        </w:tc>
        <w:tc>
          <w:tcPr>
            <w:tcW w:type="dxa" w:w="2353"/>
            <w:shd w:val="clear" w:fill="E3EAF3"/>
          </w:tcPr>
          <w:p>
            <w:pPr>
              <w:bidi w:val="1"/>
              <w:jc w:val="center"/>
            </w:pPr>
            <w:r>
              <w:rPr>
                <w:rFonts w:ascii="Arial" w:hAnsi="Arial" w:cs="Arial"/>
                <w:b/>
                <w:i w:val="0"/>
                <w:color w:val="1F3B63"/>
                <w:sz w:val="21"/>
                <w:szCs w:val="21"/>
                <w:bCs/>
                <w:rtl/>
              </w:rPr>
              <w:t>الحالة</w:t>
            </w:r>
          </w:p>
        </w:tc>
        <w:tc>
          <w:tcPr>
            <w:tcW w:type="dxa" w:w="2353"/>
            <w:shd w:val="clear" w:fill="E3EAF3"/>
          </w:tcPr>
          <w:p>
            <w:pPr>
              <w:bidi w:val="1"/>
              <w:jc w:val="center"/>
            </w:pPr>
            <w:r>
              <w:rPr>
                <w:rFonts w:ascii="Arial" w:hAnsi="Arial" w:cs="Arial"/>
                <w:b/>
                <w:i w:val="0"/>
                <w:color w:val="1F3B63"/>
                <w:sz w:val="21"/>
                <w:szCs w:val="21"/>
                <w:bCs/>
                <w:rtl/>
              </w:rPr>
              <w:t>المُعدّ / المالك</w:t>
            </w:r>
          </w:p>
        </w:tc>
      </w:tr>
      <w:tr>
        <w:tc>
          <w:tcPr>
            <w:tcW w:type="dxa" w:w="2353"/>
          </w:tcPr>
          <w:p>
            <w:pPr>
              <w:bidi w:val="1"/>
              <w:jc w:val="right"/>
            </w:pPr>
            <w:r>
              <w:rPr>
                <w:rFonts w:ascii="Arial" w:hAnsi="Arial" w:cs="Arial"/>
                <w:b w:val="0"/>
                <w:i w:val="0"/>
                <w:sz w:val="21"/>
                <w:szCs w:val="21"/>
                <w:rtl/>
              </w:rPr>
              <w:t>HT-UX-02</w:t>
            </w:r>
          </w:p>
        </w:tc>
        <w:tc>
          <w:tcPr>
            <w:tcW w:type="dxa" w:w="2353"/>
          </w:tcPr>
          <w:p>
            <w:pPr>
              <w:bidi w:val="1"/>
              <w:jc w:val="right"/>
            </w:pPr>
            <w:r>
              <w:rPr>
                <w:rFonts w:ascii="Arial" w:hAnsi="Arial" w:cs="Arial"/>
                <w:b w:val="0"/>
                <w:i w:val="0"/>
                <w:sz w:val="21"/>
                <w:szCs w:val="21"/>
                <w:rtl/>
              </w:rPr>
              <w:t>3.0</w:t>
            </w:r>
          </w:p>
        </w:tc>
        <w:tc>
          <w:tcPr>
            <w:tcW w:type="dxa" w:w="2353"/>
          </w:tcPr>
          <w:p>
            <w:pPr>
              <w:bidi w:val="1"/>
              <w:jc w:val="right"/>
            </w:pPr>
            <w:r>
              <w:rPr>
                <w:rFonts w:ascii="Arial" w:hAnsi="Arial" w:cs="Arial"/>
                <w:b w:val="0"/>
                <w:i w:val="0"/>
                <w:sz w:val="21"/>
                <w:szCs w:val="21"/>
                <w:rtl/>
              </w:rPr>
              <w:t>خط أساس معتمد — مشروط ببوابات G1–G3</w:t>
            </w:r>
          </w:p>
        </w:tc>
        <w:tc>
          <w:tcPr>
            <w:tcW w:type="dxa" w:w="2353"/>
          </w:tcPr>
          <w:p>
            <w:pPr>
              <w:bidi w:val="1"/>
              <w:jc w:val="right"/>
            </w:pPr>
            <w:r>
              <w:rPr>
                <w:rFonts w:ascii="Arial" w:hAnsi="Arial" w:cs="Arial"/>
                <w:b w:val="0"/>
                <w:i w:val="0"/>
                <w:sz w:val="21"/>
                <w:szCs w:val="21"/>
                <w:rtl/>
              </w:rPr>
              <w:t>المهندس شادي</w:t>
            </w:r>
          </w:p>
        </w:tc>
      </w:tr>
    </w:tbl>
    <w:p>
      <w:pPr>
        <w:spacing w:after="40"/>
      </w:pPr>
    </w:p>
    <w:p>
      <w:pPr>
        <w:bidi w:val="1"/>
        <w:spacing w:before="280" w:after="120"/>
        <w:jc w:val="right"/>
        <w:outlineLvl w:val="0"/>
        <w:pBdr>
          <w:bottom w:val="single" w:sz="6" w:space="2" w:color="1F3B63"/>
        </w:pBdr>
      </w:pPr>
      <w:r>
        <w:rPr>
          <w:rFonts w:ascii="Arial" w:hAnsi="Arial" w:cs="Arial"/>
          <w:b/>
          <w:i w:val="0"/>
          <w:color w:val="1F3B63"/>
          <w:sz w:val="30"/>
          <w:szCs w:val="30"/>
          <w:bCs/>
          <w:rtl/>
        </w:rPr>
        <w:t>1. الهدف</w:t>
      </w:r>
    </w:p>
    <w:p>
      <w:pPr>
        <w:bidi w:val="1"/>
        <w:spacing w:after="80" w:line="276" w:lineRule="auto"/>
        <w:jc w:val="both"/>
      </w:pPr>
      <w:r>
        <w:rPr>
          <w:rFonts w:ascii="Arial" w:hAnsi="Arial" w:cs="Arial"/>
          <w:b w:val="0"/>
          <w:i w:val="0"/>
          <w:sz w:val="22"/>
          <w:szCs w:val="22"/>
          <w:rtl/>
        </w:rPr>
        <w:t>تعريف سلوك التفاعل عند المؤشر، والنص المحدد، والنوافذ المنبثقة، والإخفاء، والإعدادات، وحالات الفشل لواجهة PySide6 على Python 3.14.5.</w:t>
      </w:r>
    </w:p>
    <w:p>
      <w:pPr>
        <w:bidi w:val="1"/>
        <w:spacing w:before="280" w:after="120"/>
        <w:jc w:val="right"/>
        <w:outlineLvl w:val="0"/>
        <w:pBdr>
          <w:bottom w:val="single" w:sz="6" w:space="2" w:color="1F3B63"/>
        </w:pBdr>
      </w:pPr>
      <w:r>
        <w:rPr>
          <w:rFonts w:ascii="Arial" w:hAnsi="Arial" w:cs="Arial"/>
          <w:b/>
          <w:i w:val="0"/>
          <w:color w:val="1F3B63"/>
          <w:sz w:val="30"/>
          <w:szCs w:val="30"/>
          <w:bCs/>
          <w:rtl/>
        </w:rPr>
        <w:t>2. مشغّل الترجمة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المشغّل الافتراضي المعتمد: F9 (قرار أولي بعد دراسة تداخل Alt مع اختصارات التطبيقات وقوائمها).</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الخيار التجريبي: Alt (Tap/Hold) — لا يُفعَّل إلا إذا أثبتت بوابة G2 سلامته الكاملة.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Hold: مدة افتراضية 500ms، قابلة للضبط ضمن 300–1000ms.</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Tap: ضغطة لا تتجاوز 300ms وفق سياسة التفاعل.</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حد حركة المؤشر: 8px أثناء تمييز الكلمة.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المعدّلات: منع التشغيل مع Shift أو Ctrl أو Windows، والتحقق من ذلك بالاختبار.</w:t>
      </w:r>
    </w:p>
    <w:p>
      <w:pPr>
        <w:bidi w:val="1"/>
        <w:spacing w:before="280" w:after="120"/>
        <w:jc w:val="right"/>
        <w:outlineLvl w:val="0"/>
        <w:pBdr>
          <w:bottom w:val="single" w:sz="6" w:space="2" w:color="1F3B63"/>
        </w:pBdr>
      </w:pPr>
      <w:r>
        <w:rPr>
          <w:rFonts w:ascii="Arial" w:hAnsi="Arial" w:cs="Arial"/>
          <w:b/>
          <w:i w:val="0"/>
          <w:color w:val="1F3B63"/>
          <w:sz w:val="30"/>
          <w:szCs w:val="30"/>
          <w:bCs/>
          <w:rtl/>
        </w:rPr>
        <w:t>3. التفاعل عند المؤشر</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1. يلاحظ التطبيق حركة المؤشر ضمن حدود التفعيل.</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2. يتحقق من حالة المشغّل والسياق الحالي (نافذة تحت المؤشر، سياق مستثنى، حقل كلمة مرور).</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3. يحاول استخراج النص من التطبيق (UIA ثم الحافظة ثم OCR).</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4. يتحقق من اتجاه النص (عربي/سيريلي/غامض).</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5. يسترجع النتيجة من الكاش أو يطلب الترجمة عبر httpx بشكل غير حاضر.</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6. يعرض Tooltip قريبًا من المؤشر.</w:t>
      </w:r>
    </w:p>
    <w:p>
      <w:pPr>
        <w:bidi w:val="1"/>
        <w:spacing w:after="80" w:line="276" w:lineRule="auto"/>
        <w:jc w:val="both"/>
      </w:pPr>
      <w:r>
        <w:rPr>
          <w:rFonts w:ascii="Arial" w:hAnsi="Arial" w:cs="Arial"/>
          <w:b w:val="0"/>
          <w:i w:val="0"/>
          <w:sz w:val="22"/>
          <w:szCs w:val="22"/>
          <w:rtl/>
        </w:rPr>
        <w:t>قيم UX الأولية (أهداف قابلة للقياس): إزاحة Tooltip 16px من المؤشر؛ هامش الحافة 40px مع منع الخروج عن حدود الشاشة والشاشات المتعددة؛ Fade-in هدف ≤100ms؛ انتهاء Tooltip بعد 10 ثوانٍ؛ تحديث ترجمة الكلمة المخزنة هدف ≤300ms.</w:t>
      </w:r>
    </w:p>
    <w:p>
      <w:pPr>
        <w:bidi w:val="1"/>
        <w:spacing w:before="280" w:after="120"/>
        <w:jc w:val="right"/>
        <w:outlineLvl w:val="0"/>
        <w:pBdr>
          <w:bottom w:val="single" w:sz="6" w:space="2" w:color="1F3B63"/>
        </w:pBdr>
      </w:pPr>
      <w:r>
        <w:rPr>
          <w:rFonts w:ascii="Arial" w:hAnsi="Arial" w:cs="Arial"/>
          <w:b/>
          <w:i w:val="0"/>
          <w:color w:val="1F3B63"/>
          <w:sz w:val="30"/>
          <w:szCs w:val="30"/>
          <w:bCs/>
          <w:rtl/>
        </w:rPr>
        <w:t>4. التفاعل مع النص المحدد</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يحدد المستخدم النص في التطبيق المضيف ثم يشغّل المشغّل.</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يستخرج التطبيق النص بأقل تدخل ممكن مع حفظ الحافظة قبل أي تعديل واستعادتها بعده.</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تظهر نافذة Popup بمهلة أولية 30 ثانية.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إذا تجاوز النص 500 حرف يظهر تنبيه بالاقتطاع.</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تُختبر الحافظة متعددة الصيغ والتزامن والتعديل من تطبيق آخر.</w:t>
      </w:r>
    </w:p>
    <w:p>
      <w:pPr>
        <w:bidi w:val="1"/>
        <w:spacing w:before="280" w:after="120"/>
        <w:jc w:val="right"/>
        <w:outlineLvl w:val="0"/>
        <w:pBdr>
          <w:bottom w:val="single" w:sz="6" w:space="2" w:color="1F3B63"/>
        </w:pBdr>
      </w:pPr>
      <w:r>
        <w:rPr>
          <w:rFonts w:ascii="Arial" w:hAnsi="Arial" w:cs="Arial"/>
          <w:b/>
          <w:i w:val="0"/>
          <w:color w:val="1F3B63"/>
          <w:sz w:val="30"/>
          <w:szCs w:val="30"/>
          <w:bCs/>
          <w:rtl/>
        </w:rPr>
        <w:t>5. الإخفاء والإيقاف</w:t>
      </w:r>
    </w:p>
    <w:p>
      <w:pPr>
        <w:bidi w:val="1"/>
        <w:spacing w:after="80" w:line="276" w:lineRule="auto"/>
        <w:jc w:val="both"/>
      </w:pPr>
      <w:r>
        <w:rPr>
          <w:rFonts w:ascii="Arial" w:hAnsi="Arial" w:cs="Arial"/>
          <w:b w:val="0"/>
          <w:i w:val="0"/>
          <w:sz w:val="22"/>
          <w:szCs w:val="22"/>
          <w:rtl/>
        </w:rPr>
        <w:t>تُخفى نافذة Tooltip/Popup عند أيٍّ مما يلي: رفع مفتاح المشغّل وفق سلوك التفاعل المعتمد؛ ضغط Escape؛ النقر خارج النافذة وفق سياسة الإخفاء؛ بدء الكتابة أو تغيّر سياق النافذة المضيفة؛ انتهاء المهلة (10 ثوانٍ Tooltip، 30 ثانية Popup)؛ الإيقاف المؤقت للتطبيق.</w:t>
      </w:r>
    </w:p>
    <w:p>
      <w:pPr>
        <w:bidi w:val="1"/>
        <w:spacing w:before="280" w:after="120"/>
        <w:jc w:val="right"/>
        <w:outlineLvl w:val="0"/>
        <w:pBdr>
          <w:bottom w:val="single" w:sz="6" w:space="2" w:color="1F3B63"/>
        </w:pBdr>
      </w:pPr>
      <w:r>
        <w:rPr>
          <w:rFonts w:ascii="Arial" w:hAnsi="Arial" w:cs="Arial"/>
          <w:b/>
          <w:i w:val="0"/>
          <w:color w:val="1F3B63"/>
          <w:sz w:val="30"/>
          <w:szCs w:val="30"/>
          <w:bCs/>
          <w:rtl/>
        </w:rPr>
        <w:t>6. السياقات المستثناة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حقول كلمات المرور والسياقات المعروفة بأنها حساسة (تُستكشف عبر UIA).</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التطبيقات التي أضافها المستخدم إلى قائمة الاستثناء في الإعدادات.</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النوافذ المرتفعة الصلاحيات (Run as administrator) عند تعذر المراقبة الآمنة، مع إشعار المستخدم.</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أي سياق لا يمكن التأكد من سلامة إرسال محتواه؛ المنع هو الافتراضي.</w:t>
      </w:r>
    </w:p>
    <w:p>
      <w:pPr>
        <w:bidi w:val="1"/>
        <w:spacing w:before="280" w:after="120"/>
        <w:jc w:val="right"/>
        <w:outlineLvl w:val="0"/>
        <w:pBdr>
          <w:bottom w:val="single" w:sz="6" w:space="2" w:color="1F3B63"/>
        </w:pBdr>
      </w:pPr>
      <w:r>
        <w:rPr>
          <w:rFonts w:ascii="Arial" w:hAnsi="Arial" w:cs="Arial"/>
          <w:b/>
          <w:i w:val="0"/>
          <w:color w:val="1F3B63"/>
          <w:sz w:val="30"/>
          <w:szCs w:val="30"/>
          <w:bCs/>
          <w:rtl/>
        </w:rPr>
        <w:t>7. OCR</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OCR محلي (Windows.Media.OCR عبر واجهات WinRT/hزح winsdk أو البديل المعتمد في G3) هو الخيار المفضل.</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قبل أول استخدام لأي OCR خارجي: إشعار يشرح أن منطقة من الشاشة قد تُرسل لجهة خارجية + موافقة صريحة.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أقل مساحة شاشة لازمة؛ لا تُرسل الشاشة كاملة.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الموافقة قابلة للمراجعة والتغيير من الإعدادات.</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لا يُفترض توفر درجة ثقة لكل كلمة؛ آلية تقييم الجودة تُحسم في G3.</w:t>
      </w:r>
    </w:p>
    <w:p>
      <w:pPr>
        <w:bidi w:val="1"/>
        <w:spacing w:before="280" w:after="120"/>
        <w:jc w:val="right"/>
        <w:outlineLvl w:val="0"/>
        <w:pBdr>
          <w:bottom w:val="single" w:sz="6" w:space="2" w:color="1F3B63"/>
        </w:pBdr>
      </w:pPr>
      <w:r>
        <w:rPr>
          <w:rFonts w:ascii="Arial" w:hAnsi="Arial" w:cs="Arial"/>
          <w:b/>
          <w:i w:val="0"/>
          <w:color w:val="1F3B63"/>
          <w:sz w:val="30"/>
          <w:szCs w:val="30"/>
          <w:bCs/>
          <w:rtl/>
        </w:rPr>
        <w:t>8. أخطاء المزود والشبكة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لا تتجمد الواجهة أثناء الانتظار؛ كل عمليات الشبكة غير حاضرة (asyncio/QThread).</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رسالة موجزة مع خيار إعادة محاولة عند الملاءمة.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مهلة الطلب الأولية: 4 ثوانٍ مع إعادة محاولة واحدة (HT-ARCH-04).</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التوافق بين مهلة الطلب وهدف عرض الخطأ ≤600ms يتحقق بفصل مسارات انقطاع الاتصال.</w:t>
      </w:r>
    </w:p>
    <w:p>
      <w:pPr>
        <w:bidi w:val="1"/>
        <w:spacing w:before="280" w:after="120"/>
        <w:jc w:val="right"/>
        <w:outlineLvl w:val="0"/>
        <w:pBdr>
          <w:bottom w:val="single" w:sz="6" w:space="2" w:color="1F3B63"/>
        </w:pBdr>
      </w:pPr>
      <w:r>
        <w:rPr>
          <w:rFonts w:ascii="Arial" w:hAnsi="Arial" w:cs="Arial"/>
          <w:b/>
          <w:i w:val="0"/>
          <w:color w:val="1F3B63"/>
          <w:sz w:val="30"/>
          <w:szCs w:val="30"/>
          <w:bCs/>
          <w:rtl/>
        </w:rPr>
        <w:t>9. الإتاحة واللغات</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دعم العربية والروسية واتجاه RTL/LTR أصيلًا في Qt.</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استهداف WCAG AA للتباين حيث ينطبق على سطح المكتب.</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تعريض عناصر الواجهة عبر Qt Accessibility لقارئات الشاشة.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اختبار تكبير DPI 125% و150% والشاشات المتعددة.</w:t>
      </w:r>
    </w:p>
    <w:p>
      <w:pPr>
        <w:bidi w:val="1"/>
        <w:spacing w:before="280" w:after="120"/>
        <w:jc w:val="right"/>
        <w:outlineLvl w:val="0"/>
        <w:pBdr>
          <w:bottom w:val="single" w:sz="6" w:space="2" w:color="1F3B63"/>
        </w:pBdr>
      </w:pPr>
      <w:r>
        <w:rPr>
          <w:rFonts w:ascii="Arial" w:hAnsi="Arial" w:cs="Arial"/>
          <w:b/>
          <w:i w:val="0"/>
          <w:color w:val="1F3B63"/>
          <w:sz w:val="30"/>
          <w:szCs w:val="30"/>
          <w:bCs/>
          <w:rtl/>
        </w:rPr>
        <w:t>10. حالات الاختبار المرتبطة</w:t>
      </w:r>
    </w:p>
    <w:p>
      <w:pPr>
        <w:bidi w:val="1"/>
        <w:spacing w:after="80" w:line="276" w:lineRule="auto"/>
        <w:jc w:val="both"/>
      </w:pPr>
      <w:r>
        <w:rPr>
          <w:rFonts w:ascii="Arial" w:hAnsi="Arial" w:cs="Arial"/>
          <w:b w:val="0"/>
          <w:i w:val="0"/>
          <w:sz w:val="22"/>
          <w:szCs w:val="22"/>
          <w:rtl/>
        </w:rPr>
        <w:t>UX-01 تفعيل المشغّل، UX-02 إخفاء Tooltip، UX-03 ترجمة النص المحدد، UX-04 منع التفعيل في السياقات المستثناة، UX-05 تغيير DPI والشاشة، UX-06 تبديل اللغة والاتجاه، UX-07 فشل المزود، UX-08 إلغاء الطلبات القديمة، UX-09 موافقة OCR الخارجي، UX-10 موافقة تقارير الأعطال، UX-11 الإيقاف المؤقت والخروج الآمن. لكل حالة اختبار تفصيلي بخطوات ونتيجة متوقعة ودليل نجاح (HT-TEST-09).</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Arial" w:hAnsi="Arial" w:cs="Arial"/>
        <w:b w:val="0"/>
        <w:i w:val="0"/>
        <w:color w:val="888888"/>
        <w:sz w:val="18"/>
        <w:szCs w:val="18"/>
        <w:rtl/>
      </w:rPr>
      <w:t>HOVERTRANSLATE — HT-UX-02 — الإصدار 3.0 — إعداد: م. شادي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