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t>RA1 e RA2</w:t>
      </w:r>
    </w:p>
    <w:p>
      <w:pPr>
        <w:pStyle w:val="Title"/>
      </w:pPr>
      <w:r>
        <w:t>Ingestão, preparação</w:t>
        <w:br/>
        <w:t>e análise dos dados</w:t>
      </w:r>
    </w:p>
    <w:p>
      <w:pPr>
        <w:pStyle w:val="Subtitle"/>
      </w:pPr>
      <w:r>
        <w:rPr>
          <w:color w:val="000000"/>
        </w:rPr>
        <w:t xml:space="preserve">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t>Preparação e análise de registros de uma loja online, com demonstração de streaming</w:t>
      </w:r>
    </w:p>
    <w:p>
      <w:pPr>
        <w:spacing w:after="240"/>
      </w:pPr>
      <w:r>
        <w:rPr>
          <w:b/>
        </w:rPr>
        <w:t xml:space="preserve">Curso e turma  </w:t>
      </w:r>
      <w:r>
        <w:rPr>
          <w:color w:val="000000"/>
        </w:rPr>
        <w:t xml:space="preserve">Sistemas de Informação | 6º período</w:t>
      </w:r>
    </w:p>
    <w:p>
      <w:pPr>
        <w:spacing w:after="240"/>
      </w:pPr>
      <w:r>
        <w:rPr>
          <w:b/>
        </w:rPr>
        <w:t xml:space="preserve">Professor ou professora  </w:t>
      </w:r>
      <w:r>
        <w:rPr>
          <w:color w:val="000000"/>
        </w:rPr>
        <w:t xml:space="preserve">Marina de Lara</w:t>
      </w:r>
    </w:p>
    <w:p>
      <w:pPr>
        <w:spacing w:after="400"/>
      </w:pPr>
      <w:r>
        <w:rPr>
          <w:b/>
        </w:rPr>
        <w:t xml:space="preserve">Equipe  </w:t>
      </w:r>
      <w:r>
        <w:rPr>
          <w:color w:val="000000"/>
        </w:rPr>
        <w:t xml:space="preserve">Gastão Eduardo e Gustavo Schott</w:t>
      </w:r>
    </w:p>
    <w:p>
      <w:pPr>
        <w:spacing w:after="240"/>
      </w:pPr>
      <w:r>
        <w:rPr>
          <w:b/>
        </w:rPr>
        <w:t xml:space="preserve">Repositório  </w:t>
      </w:r>
      <w:r>
        <w:rPr>
          <w:color w:val="000000"/>
        </w:rPr>
        <w:t>https://github.com/ghastsantos/data-analytics-ra1-ra2</w:t>
      </w:r>
    </w:p>
    <w:p>
      <w:pPr>
        <w:spacing w:after="240"/>
      </w:pPr>
      <w:r>
        <w:rPr>
          <w:b/>
        </w:rPr>
        <w:t xml:space="preserve">Entrega  </w:t>
      </w:r>
      <w:r>
        <w:rPr>
          <w:color w:val="000000"/>
        </w:rPr>
        <w:t xml:space="preserve">21/10/2026</w:t>
      </w:r>
    </w:p>
    <w:p>
      <w:pPr>
        <w:spacing w:after="300"/>
      </w:pPr>
    </w:p>
    <w:p>
      <w:r>
        <w:br w:type="page"/>
      </w:r>
    </w:p>
    <w:p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pPr>
        <w:pStyle w:val="Heading2"/>
      </w:pPr>
      <w:r>
        <w:t>Contexto e problema</w:t>
      </w:r>
    </w:p>
    <w:p>
      <w:pPr>
        <w:spacing w:after="160"/>
      </w:pPr>
      <w:r>
        <w:t>O projeto prepara registros de uma loja online para analisar o valor dos itens por dia e as quantidades por produto. No RA2, demonstra como os totais por minuto mudam com a chegada de novos eventos. A base histórica reúne itens de mercadorias, cancelamentos e lançamentos administrativos; por isso, é preciso definir o recorte e não interpretar cada linha como um pedido inteiro.</w:t>
      </w:r>
    </w:p>
    <w:p>
      <w:pPr>
        <w:pStyle w:val="Heading2"/>
      </w:pPr>
      <w:r>
        <w:t>Objetivo e recorte</w:t>
      </w:r>
    </w:p>
    <w:p>
      <w:pPr>
        <w:spacing w:after="160"/>
      </w:pPr>
      <w:r>
        <w:t>O RA1 prepara registros positivos de mercadorias da base Online Retail, entre 1º de dezembro de 2010 e 9 de dezembro de 2011, e responde descritivamente às perguntas sobre valor diário e quantidade por produto. No RA2, seis eventos fictícios demonstram a atualização dos valores por minuto. Uma linha representa um item da transação. Os resultados do RA1 são valores registrados no recorte, não receita líquida nem lucro.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Pergunta analítica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Dados usados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P1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Como o valor dos registros positivos varia por dia?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InvoiceDate, Quantity e UnitPrice; registros positivos de mercadorias do RA1.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P2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Quais produtos têm maior quantidade registrada?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StockCode, Description e Quantity; conjunto preparado no RA1.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P3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No RA2, como os valores por minuto mudam quando chegam novos eventos?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Seis eventos simulados; event_time, Quantity e UnitPrice; janelas de um minuto.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>
        <w:spacing w:after="160"/>
      </w:pPr>
      <w:r>
        <w:rPr>
          <w:color w:val="000000"/>
        </w:rPr>
        <w:t xml:space="preserve">A fonte contém data/hora, produto, quantidade, preço unitário em GBP e país, suficientes para formular P1 a P3. CustomerID não é obrigatório para essas perguntas. Ausências de cliente limitam análises individuais; a falta de vínculo explícito entre venda e cancelamento exige regra posterior de reconciliação. A base é histórica e não descreve o desempenho atual de uma empresa.</w:t>
      </w:r>
    </w:p>
    <w:p>
      <w:r>
        <w:br w:type="page"/>
      </w:r>
    </w:p>
    <w:p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>
          <w:color w:val="000000"/>
        </w:rPr>
        <w:t xml:space="preserve">F1 | Online Retail</w:t>
      </w:r>
    </w:p>
    <w:p>
      <w:pPr>
        <w:spacing w:after="160"/>
      </w:pPr>
      <w:r>
        <w:rPr>
          <w:b/>
        </w:rPr>
        <w:t xml:space="preserve">Origem e acesso  </w:t>
      </w:r>
      <w:r>
        <w:rPr>
          <w:color w:val="000000"/>
        </w:rPr>
        <w:t xml:space="preserve">Daqing Chen / UCI Machine Learning Repository. https://archive.ics.uci.edu/dataset/352/online+retail. Acesso em 15/10/2026.</w:t>
      </w:r>
    </w:p>
    <w:p>
      <w:pPr>
        <w:spacing w:after="160"/>
      </w:pPr>
      <w:r>
        <w:rPr>
          <w:b/>
        </w:rPr>
        <w:t xml:space="preserve">Formato e volume  </w:t>
      </w:r>
      <w:r>
        <w:rPr>
          <w:color w:val="000000"/>
        </w:rPr>
        <w:t xml:space="preserve">XLSX, aba Online Retail; 541.909 registros e 8 atributos. ZIP e XLSX originais preservados.</w:t>
      </w:r>
    </w:p>
    <w:p>
      <w:pPr>
        <w:spacing w:after="160"/>
      </w:pPr>
      <w:r>
        <w:rPr>
          <w:b/>
        </w:rPr>
        <w:t xml:space="preserve">Cobertura  </w:t>
      </w:r>
      <w:r>
        <w:rPr>
          <w:color w:val="000000"/>
        </w:rPr>
        <w:t xml:space="preserve">01/12/2010 a 09/12/2011; varejista online do Reino Unido, com compradores de 38 países observados.</w:t>
      </w:r>
    </w:p>
    <w:p>
      <w:pPr>
        <w:spacing w:after="160"/>
      </w:pPr>
      <w:r>
        <w:rPr>
          <w:b/>
        </w:rPr>
        <w:t xml:space="preserve">Condições de uso  </w:t>
      </w:r>
      <w:r>
        <w:rPr>
          <w:color w:val="000000"/>
        </w:rPr>
        <w:t xml:space="preserve">Creative Commons Attribution 4.0 International (CC BY 4.0). Manter atribuição à fonte e indicar transformações.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t>No RA1, P1 combina InvoiceDate, Quantity e UnitPrice para somar o valor dos registros por dia; P2 soma Quantity por StockCode e Description. P3 pertence ao RA2 e usa eventos simulados, separados da base histórica. Os resultados são descritivos e não representam vendas líquidas.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Baixar o ZIP público da UCI, preservar o arquivo e registrar origem/hash.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scripts/profile_source.py; evidence/source_profile.json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Extrair o XLSX e ler a aba Online Retail com pandas/read_excel e engine openpyxl; cabeçalho na primeira linha.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scripts/profile_source.py; projeto_data_analytics.ipynb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Conferir aba, esquema, 541.909 linhas, 8 colunas e período observado.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evidence/source_profile.json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>
        <w:spacing w:after="160"/>
      </w:pPr>
      <w:r>
        <w:rPr>
          <w:color w:val="000000"/>
        </w:rPr>
        <w:t xml:space="preserve">Foram carregados 541.909 registros e 8 atributos da aba Online Retail. Os arquivos brutos ficam em data/raw/online_retail_uci.zip e data/raw/Online Retail.xlsx. A proveniência, os hashes SHA-256 e o diagnóstico ficam em evidence/source_profile.json. A obtenção é pública e não exige credenciais.</w:t>
      </w:r>
    </w:p>
    <w:p>
      <w:r>
        <w:br w:type="page"/>
      </w:r>
    </w:p>
    <w:p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pPr>
        <w:spacing w:after="200"/>
      </w:pPr>
      <w:r>
        <w:rPr>
          <w:b/>
        </w:rPr>
        <w:t xml:space="preserve">Unidade de observação  </w:t>
      </w:r>
      <w:r>
        <w:rPr>
          <w:color w:val="000000"/>
        </w:rPr>
        <w:t xml:space="preserve">Uma linha representa um item de transação. Não representa necessariamente um pedido inteiro ou um cliente único.</w:t>
      </w:r>
    </w:p>
    <w:p>
      <w:pPr>
        <w:spacing w:after="200"/>
      </w:pPr>
      <w:r>
        <w:rPr>
          <w:b/>
        </w:rPr>
        <w:t xml:space="preserve">Identificação dos registros  </w:t>
      </w:r>
      <w:r>
        <w:rPr>
          <w:color w:val="000000"/>
        </w:rPr>
        <w:t xml:space="preserve">InvoiceNo e o par InvoiceNo/StockCode não são chaves de linha. SourceRow identifica a linha do XLSX original (cabeçalho na linha 1).</w:t>
      </w:r>
    </w:p>
    <w:p>
      <w:pPr>
        <w:pStyle w:val="Heading2"/>
      </w:pPr>
      <w:r>
        <w:t>Dicionário inicial dos dados</w:t>
      </w:r>
    </w:p>
    <w:p>
      <w:pPr>
        <w:pStyle w:val="Heading2"/>
      </w:pPr>
      <w:r>
        <w:t>Respostas às perguntas analíticas</w:t>
      </w:r>
    </w:p>
    <w:p>
      <w:pPr>
        <w:pStyle w:val="Heading3"/>
      </w:pPr>
      <w:r>
        <w:t>P1 — Como o valor dos registros positivos varia por dia?</w:t>
      </w:r>
    </w:p>
    <w:p>
      <w:pPr/>
      <w:r>
        <w:t>Somamos Quantity × UnitPrice por data, usando os registros positivos de mercadorias preparados no RA1. Há registros em 305 dias: o valor médio por dia com registros foi GBP 33.676,83 e a mediana foi GBP 28.530,63. A variação foi ampla: o menor total diário foi GBP 3.457,11, em 06/02/2011, e o maior foi GBP 198.114,26, em 09/12/2011. A média diária aumentou entre setembro (GBP 39.633,67) e novembro de 2011 (GBP 56.067,14). Dezembro tem apenas oito dias com registros no período da base, então não é comparável a um mês completo. Esses valores são somas de registros positivos, não vendas líquidas.</w:t>
      </w:r>
    </w:p>
    <w:p>
      <w:pPr>
        <w:pStyle w:val="Heading3"/>
      </w:pPr>
      <w:r>
        <w:t>P2 — Quais produtos têm maior quantidade registrada?</w:t>
      </w:r>
    </w:p>
    <w:p>
      <w:pPr/>
      <w:r>
        <w:t>Somamos Quantity por código e descrição no conjunto preparado. Os cinco maiores totais foram: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Quantidade (unidades)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Registros</w:t>
            </w:r>
          </w:p>
        </w:tc>
      </w:tr>
      <w:tr>
        <w:tc>
          <w:tcPr>
            <w:tcW w:type="dxa" w:w="2367"/>
          </w:tcPr>
          <w:p>
            <w:r>
              <w:t>1</w:t>
            </w:r>
          </w:p>
        </w:tc>
        <w:tc>
          <w:tcPr>
            <w:tcW w:type="dxa" w:w="2367"/>
          </w:tcPr>
          <w:p>
            <w:r>
              <w:t>23843 — PAPER CRAFT , LITTLE BIRDIE</w:t>
            </w:r>
          </w:p>
        </w:tc>
        <w:tc>
          <w:tcPr>
            <w:tcW w:type="dxa" w:w="2367"/>
          </w:tcPr>
          <w:p>
            <w:r>
              <w:t>80.995</w:t>
            </w:r>
          </w:p>
        </w:tc>
        <w:tc>
          <w:tcPr>
            <w:tcW w:type="dxa" w:w="2367"/>
          </w:tcPr>
          <w:p>
            <w:r>
              <w:t>1</w:t>
            </w:r>
          </w:p>
        </w:tc>
      </w:tr>
      <w:tr>
        <w:tc>
          <w:tcPr>
            <w:tcW w:type="dxa" w:w="2367"/>
          </w:tcPr>
          <w:p>
            <w:r>
              <w:t>2</w:t>
            </w:r>
          </w:p>
        </w:tc>
        <w:tc>
          <w:tcPr>
            <w:tcW w:type="dxa" w:w="2367"/>
          </w:tcPr>
          <w:p>
            <w:r>
              <w:t>23166 — MEDIUM CERAMIC TOP STORAGE JAR</w:t>
            </w:r>
          </w:p>
        </w:tc>
        <w:tc>
          <w:tcPr>
            <w:tcW w:type="dxa" w:w="2367"/>
          </w:tcPr>
          <w:p>
            <w:r>
              <w:t>78.033</w:t>
            </w:r>
          </w:p>
        </w:tc>
        <w:tc>
          <w:tcPr>
            <w:tcW w:type="dxa" w:w="2367"/>
          </w:tcPr>
          <w:p>
            <w:r>
              <w:t>250</w:t>
            </w:r>
          </w:p>
        </w:tc>
      </w:tr>
      <w:tr>
        <w:tc>
          <w:tcPr>
            <w:tcW w:type="dxa" w:w="2367"/>
          </w:tcPr>
          <w:p>
            <w:r>
              <w:t>3</w:t>
            </w:r>
          </w:p>
        </w:tc>
        <w:tc>
          <w:tcPr>
            <w:tcW w:type="dxa" w:w="2367"/>
          </w:tcPr>
          <w:p>
            <w:r>
              <w:t>84077 — WORLD WAR 2 GLIDERS ASSTD DESIGNS</w:t>
            </w:r>
          </w:p>
        </w:tc>
        <w:tc>
          <w:tcPr>
            <w:tcW w:type="dxa" w:w="2367"/>
          </w:tcPr>
          <w:p>
            <w:r>
              <w:t>55.047</w:t>
            </w:r>
          </w:p>
        </w:tc>
        <w:tc>
          <w:tcPr>
            <w:tcW w:type="dxa" w:w="2367"/>
          </w:tcPr>
          <w:p>
            <w:r>
              <w:t>537</w:t>
            </w:r>
          </w:p>
        </w:tc>
      </w:tr>
      <w:tr>
        <w:tc>
          <w:tcPr>
            <w:tcW w:type="dxa" w:w="2367"/>
          </w:tcPr>
          <w:p>
            <w:r>
              <w:t>4</w:t>
            </w:r>
          </w:p>
        </w:tc>
        <w:tc>
          <w:tcPr>
            <w:tcW w:type="dxa" w:w="2367"/>
          </w:tcPr>
          <w:p>
            <w:r>
              <w:t>85099B — JUMBO BAG RED RETROSPOT</w:t>
            </w:r>
          </w:p>
        </w:tc>
        <w:tc>
          <w:tcPr>
            <w:tcW w:type="dxa" w:w="2367"/>
          </w:tcPr>
          <w:p>
            <w:r>
              <w:t>48.474</w:t>
            </w:r>
          </w:p>
        </w:tc>
        <w:tc>
          <w:tcPr>
            <w:tcW w:type="dxa" w:w="2367"/>
          </w:tcPr>
          <w:p>
            <w:r>
              <w:t>2.112</w:t>
            </w:r>
          </w:p>
        </w:tc>
      </w:tr>
      <w:tr>
        <w:tc>
          <w:tcPr>
            <w:tcW w:type="dxa" w:w="2367"/>
          </w:tcPr>
          <w:p>
            <w:r>
              <w:t>5</w:t>
            </w:r>
          </w:p>
        </w:tc>
        <w:tc>
          <w:tcPr>
            <w:tcW w:type="dxa" w:w="2367"/>
          </w:tcPr>
          <w:p>
            <w:r>
              <w:t>85123A — WHITE HANGING HEART T-LIGHT HOLDER</w:t>
            </w:r>
          </w:p>
        </w:tc>
        <w:tc>
          <w:tcPr>
            <w:tcW w:type="dxa" w:w="2367"/>
          </w:tcPr>
          <w:p>
            <w:r>
              <w:t>37.599</w:t>
            </w:r>
          </w:p>
        </w:tc>
        <w:tc>
          <w:tcPr>
            <w:tcW w:type="dxa" w:w="2367"/>
          </w:tcPr>
          <w:p>
            <w:r>
              <w:t>2.256</w:t>
            </w:r>
          </w:p>
        </w:tc>
      </w:tr>
    </w:tbl>
    <w:p>
      <w:pPr/>
      <w:r>
        <w:t>O código 23843 lidera por causa de um único registro com 80.995 unidades. Como valores positivos extremos foram mantidos no recorte, esse resultado deve ser lido com cautela: a maior quantidade acumulada não significa necessariamente o produto mais vendido com maior frequência.</w:t>
      </w:r>
    </w:p>
    <w:p>
      <w:pPr>
        <w:pStyle w:val="Heading3"/>
      </w:pPr>
      <w:r>
        <w:t>P3 — No RA2, como os valores por minuto mudam quando chegam novos eventos?</w:t>
      </w:r>
    </w:p>
    <w:p>
      <w:pPr/>
      <w:r>
        <w:t>O Spark atualizou os totais a cada chegada de dois eventos. Na primeira, a janela das 10:00 somou GBP 25. Na segunda, a janela das 10:00 passou a GBP 55 e a das 10:01 começou com GBP 20. Na terceira, os totais finais ficaram em GBP 55 às 10:00, GBP 30 às 10:01 e GBP 10 às 10:02. A soma é GBP 95. São seis eventos fictícios, criados para a demonstração, e não vendas reais.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InvoiceNo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Identificador da transação; C indica cancelamento.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Origem: object; saída: texto.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Identificador categórico; não é chave de linha.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StockCode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Código do item ou do lançamento.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Origem: object; saída: texto.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Código categórico; formato não prova erro.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Description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Descrição informada para o item.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Origem: object; saída: texto aparado.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Texto; sem imputação de descrições.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Quantity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Quantidade registrada no item.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Origem: int64; saída: Int64.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Unidades; positiva no recorte preparado.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InvoiceDate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Data e hora registradas da transação.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datetime; CSV com data/hora.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Sem fuso informado; horário preservado.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UnitPrice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Preço unitário.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Origem: float64; saída: Float64.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GBP; valor positivo no recorte.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CustomerID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Identificação do cliente, quando disponível.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Origem: float64; saída: texto sem .0.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Identificador categórico; NA permitido.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Country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País informado na transação.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Texto.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38 países distintos no bruto.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 de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Q1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Ausências por atributo.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CustomerID: 135.080; Description: 1.454; demais: 0.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null_counts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Igualdade das oito colunas originais.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5.268 linhas extras após a primeira; não comprova erro de coleta.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duplicates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Q3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Unicidade de InvoiceNo e InvoiceNo/StockCode.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InvoiceNo não é único; par repetido em 10.684 linhas extras.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uniqueness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Prefixo C e quantidade não positiva.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9.288 cancelamentos; 10.624 quantidades negativas; nenhuma zero.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cancellations, numeric_profile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Q5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Preço não positivo e valores não finitos.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2.517 preços não positivos; campos numéricos finitos.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numeric_profile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Datas, tipos e espaços laterais.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Datas válidas no período; 113.452 descrições com espaços laterais. IDs exigem texto.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dates, schema, leading_or_trailing_whitespace_counts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Q7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Extremos de quantidade e preço.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Quantity: -80.995 a 80.995; UnitPrice: -11.062,06 a 38.970,00 GBP. Magnitude isolada não prova erro.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numeric_profile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Q8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Semântica dos códigos de item.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Há frete, taxas, ajustes e vouchers. DCGSSBOY, DCGSSGIRL e PADS são mantidos após inspeção; regex isolada foi rejeitada.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source_profile.json: stock_codes, rejected_regex_proposal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rPr>
          <w:color w:val="000000"/>
        </w:rPr>
        <w:t xml:space="preserve">A prioridade é separar tipos de lançamento e explicitar o recorte antes de calcular indicadores. Cancelamentos e quantidades/preços não positivos não são automaticamente erros: ficam fora da saída selecionada e são mantidos em arquivo de exclusões. IDs ausentes restringem análises por cliente. Repetições e extremos positivos exigem interpretação de domínio, e não remoção automática.</w:t>
      </w:r>
    </w:p>
    <w:p>
      <w:r>
        <w:br w:type="page"/>
      </w:r>
    </w:p>
    <w:p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color w:val="000000"/>
        </w:rPr>
        <w:t xml:space="preserve">D1 | Q1, Q3 e Q6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>
          <w:color w:val="000000"/>
        </w:rPr>
        <w:t xml:space="preserve">Identificadores, descrições, datas e campos numéricos em todas as linhas de entrada.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>
          <w:color w:val="000000"/>
        </w:rPr>
        <w:t xml:space="preserve">Converter identificadores e categorias para texto; retirar apenas espaços nas extremidades; remover o sufixo .0 de CustomerID conhecido; converter data/hora e campos numéricos com validação. Não inventar cliente, descrição ou fuso. Acrescentar SourceRow antes dos filtros para manter o vínculo com a linha original.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color w:val="000000"/>
        </w:rPr>
        <w:t xml:space="preserve">scripts/data_preparation.py: prepare_data; projeto_data_analytics.ipynb.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>
          <w:color w:val="000000"/>
        </w:rPr>
        <w:t xml:space="preserve">Tipos e domínio conferidos no perfil e nos testes. SourceRow é único; datas mantêm o período da fonte. O CSV final tem nove colunas e permite rastrear cada linha ao XLSX.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color w:val="000000"/>
        </w:rPr>
        <w:t xml:space="preserve">D2 | Q4, Q5 e Q8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>
          <w:color w:val="000000"/>
        </w:rPr>
        <w:t xml:space="preserve">Linhas de cancelamento, valores não positivos e códigos de lançamentos fora do recorte de mercadorias.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>
          <w:color w:val="000000"/>
        </w:rPr>
        <w:t xml:space="preserve">Aplicar regras em ordem: cancelamento, campos essenciais inválidos, quantidade não positiva, preço não positivo, códigos não mercantis explícitos e descrição ausente. Registrar somente o primeiro motivo por linha. Manter os registros retirados em CSV separado. A seleção delimita o recorte; não declara esses lançamentos incorretos nem produz vendas líquidas.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color w:val="000000"/>
        </w:rPr>
        <w:t xml:space="preserve">scripts/data_preparation.py: prepare_data; lista other_codes e prefixo GIFT_.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>
          <w:color w:val="000000"/>
        </w:rPr>
        <w:t xml:space="preserve">Balanço: 527.761 preparados e 14.148 excluídos. Motivos exclusivos: 9.288 cancelamentos; 1.336 quantidades; 1.181 preços; 2.343 lançamentos não mercantis. Sem perda silenciosa.</w:t>
      </w:r>
    </w:p>
    <w:p>
      <w:r>
        <w:br w:type="page"/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color w:val="000000"/>
        </w:rPr>
        <w:t xml:space="preserve">D3 | Q1, Q2 e Q7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>
          <w:color w:val="000000"/>
        </w:rPr>
        <w:t xml:space="preserve">Clientes ausentes, linhas iguais nas oito colunas de negócio e valores extremos positivos que passaram pelo recorte.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>
          <w:color w:val="000000"/>
        </w:rPr>
        <w:t xml:space="preserve">Manter CustomerID ausente, repetições exatas e extremos positivos. Ausência de cliente não impede perguntas por produto, tempo e país; igualdade de linhas não prova duplicação acidental; atacadistas podem gerar quantidades elevadas. Registrar essas condições como limites de uso. Conservar bruto, evidências e exclusões para revisão futura.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color w:val="000000"/>
        </w:rPr>
        <w:t xml:space="preserve">scripts/data_preparation.py: política de retenção; data/raw e data/processed/excluded_records.csv.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>
          <w:color w:val="000000"/>
        </w:rPr>
        <w:t xml:space="preserve">A saída mantém 131.421 clientes ausentes e 5.221 repetições extras nas oito colunas. SourceRow distingue as linhas. Testes verificam que duplicatas e extremos positivos não são eliminados automaticamente.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D1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Tipos, espaços e SourceRow.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9 colunas finais; nenhuma exclusão só por cliente ausente.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data_preparation.py; source_profile.json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D2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Separar cancelamentos.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9.288 linhas fora do recorte.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preparation_summary.json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Separar quantidades/preços não positivos.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1.336 por quantidade; 1.181 por preço.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preparation_summary.json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D2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Separar lançamentos não mercantis.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2.343 linhas; códigos explícitos e GIFT_.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preparation_summary.json; excluded_records.csv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D3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Manter ausências de cliente, repetições e extremos.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131.421 NA em cliente; 5.221 repetições extras.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preparation_summary.json; tests/test_data_preparation.py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pPr>
        <w:spacing w:after="200"/>
      </w:pPr>
      <w:r>
        <w:rPr>
          <w:b/>
        </w:rPr>
        <w:t xml:space="preserve">Arquivo ou conjunto final  </w:t>
      </w:r>
      <w:r>
        <w:rPr>
          <w:color w:val="000000"/>
        </w:rPr>
        <w:t xml:space="preserve">sales_prepared.csv | data/processed/sales_prepared.csv | CSV UTF-8; exclusões em data/processed/excluded_records.csv.</w:t>
      </w:r>
    </w:p>
    <w:p>
      <w:pPr>
        <w:spacing w:after="200"/>
      </w:pPr>
      <w:r>
        <w:rPr>
          <w:b/>
        </w:rPr>
        <w:t xml:space="preserve">Unidade de observação final  </w:t>
      </w:r>
      <w:r>
        <w:rPr>
          <w:color w:val="000000"/>
        </w:rPr>
        <w:t xml:space="preserve">Item de transação positivo de mercadoria, dentro do recorte adotado, com rastreio pela coluna SourceRow.</w:t>
      </w:r>
    </w:p>
    <w:p>
      <w:pPr>
        <w:spacing w:after="200"/>
      </w:pPr>
      <w:r>
        <w:rPr>
          <w:b/>
        </w:rPr>
        <w:t xml:space="preserve">Dicionário atualizado  </w:t>
      </w:r>
      <w:r>
        <w:rPr>
          <w:color w:val="000000"/>
        </w:rPr>
        <w:t xml:space="preserve">Oito atributos da seção 3, acrescidos de SourceRow: inteiro que aponta a linha original do XLSX. Total de 9 atributos.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Registros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541.909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527.761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14.148 linhas fora do recorte; todas no CSV de exclusões.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Atributos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8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9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Inclusão de SourceRow para rastrear a linha do XLSX.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CustomerID ausente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135.080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131.421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Redução decorre dos filtros de escopo; ausência não é critério de exclusão.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Description ausente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1.454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Linhas afetadas já saíram por regras anteriores; não houve imputação.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Repetições extras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5.268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5.221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Igualdade nas oito colunas; diferença decorre do recorte, sem deduplicação.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Verificações finais</w:t>
      </w:r>
    </w:p>
    <w:p>
      <w:pPr>
        <w:spacing w:after="160"/>
      </w:pPr>
      <w:r>
        <w:rPr>
          <w:color w:val="000000"/>
        </w:rPr>
        <w:t xml:space="preserve">O balanço confirma 527.761 preparados + 14.148 excluídos = 541.909 de entrada. SourceRow é único na saída e não há interseção entre preparados e excluídos. Quantidades são inteiras positivas, preços são finitos e positivos, datas são válidas e os campos essenciais estão preenchidos. CustomerID admite ausência por decisão explícita. Evidências: evidence/preparation_summary.json, evidence/source_profile.json e testes em tests/test_data_preparation.py.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>
          <w:color w:val="000000"/>
        </w:rPr>
        <w:t xml:space="preserve">Permanecem 131.421 registros sem CustomerID e 5.221 repetições extras nas oito colunas de negócio, preservadas sem presumir erro. Extremos positivos também permanecem; o contexto inclui atacadistas. O recorte não reconcilia cancelamentos com vendas originais e não mede receita líquida. O horário da fonte não informa fuso; não foi atribuído UTC. A base histórica requer cautela para qualquer generalização atual.</w:t>
      </w:r>
    </w:p>
    <w:p>
      <w:r>
        <w:br w:type="page"/>
      </w:r>
    </w:p>
    <w:p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pPr>
        <w:spacing w:after="200"/>
      </w:pPr>
      <w:r>
        <w:rPr>
          <w:b/>
        </w:rPr>
        <w:t xml:space="preserve">Repositório e versão  </w:t>
      </w:r>
      <w:r>
        <w:rPr>
          <w:color w:val="000000"/>
        </w:rPr>
        <w:t xml:space="preserve">Pasta local data-analytics; URL remota, branch/tag e commit da entrega pendentes de publicação.</w:t>
      </w:r>
    </w:p>
    <w:p>
      <w:pPr>
        <w:spacing w:after="200"/>
      </w:pPr>
      <w:r>
        <w:rPr>
          <w:b/>
        </w:rPr>
        <w:t xml:space="preserve">Ambiente  </w:t>
      </w:r>
      <w:r>
        <w:rPr>
          <w:color w:val="000000"/>
        </w:rPr>
        <w:t xml:space="preserve">Python 3.12.15; pandas 2.3.3; openpyxl 3.1.5; Jupyter. Execução integral Linux com PySpark 3.5.7 e Java 17. Dependências: requirements.txt; instruções no README.md.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Dados brutos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data/raw/Online Retail.xlsx; ZIP original em data/raw/.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Código de ingestão e preparação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projeto_data_analytics.ipynb; scripts/profile_source.py; scripts/data_preparation.py.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Dados preparados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data/processed/sales_prepared.csv e excluded_records.csv.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Documentação e dependências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README.md; requirements.txt; docs/relatorio_ra1.docx; evidências em evidence/ e testes em tests/.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Colab: enviar o notebook e escolher Executar tudo. Local: python -m pip install -r requirements.txt; Java 17.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Ambiente pronto; o notebook obtém a fonte pública se necessário.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Local: jupyter notebook projeto_data_analytics.ipynb. Alternativa automática: python scripts/execute_notebook.py --kernel python3.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Células executadas em ordem; RA1 e RA2 separados.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Executar: python -m unittest discover -s tests -v; conferir evidence/preparation_summary.json.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Testes aprovados e balanço preservado.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Conferir sales_prepared.csv e excluded_records.csv em data/processed; consultar evidence/.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Saídas, perfil e registro de execução disponíveis.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rPr>
          <w:color w:val="000000"/>
        </w:rPr>
        <w:t xml:space="preserve">Execução automatizada integral em 15/10/2026, em Linux. O registro evidence/execution_record.json confirma as verificações do RA1 e a chegada à última célula. Balanço: 527.761 preparados e 14.148 segregados. Responsáveis pelo projeto: Gastão Eduardo e Gustavo Schott.</w:t>
      </w:r>
    </w:p>
    <w:p>
      <w:r>
        <w:br w:type="page"/>
      </w:r>
    </w:p>
    <w:p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pPr>
        <w:pStyle w:val="Heading2"/>
      </w:pPr>
      <w:r>
        <w:t>Referências</w:t>
      </w:r>
    </w:p>
    <w:p>
      <w:r>
        <w:rPr>
          <w:color w:val="000000"/>
        </w:rPr>
        <w:t xml:space="preserve">CHEN, Daqing. Online Retail. UCI Machine Learning Repository, 2015. DOI: https://doi.org/10.24432/C5BW33. Disponível em: https://archive.ics.uci.edu/dataset/352/online+retail. Acesso em: 15 out. 2026.</w:t>
      </w:r>
    </w:p>
    <w:p>
      <w:r>
        <w:rPr>
          <w:color w:val="000000"/>
        </w:rPr>
        <w:t xml:space="preserve">CREATIVE COMMONS. Attribution 4.0 International (CC BY 4.0). Disponível em: https://creativecommons.org/licenses/by/4.0/. Acesso em: 15 out. 2026.</w:t>
      </w:r>
    </w:p>
    <w:p>
      <w:r>
        <w:rPr>
          <w:color w:val="000000"/>
        </w:rPr>
        <w:t xml:space="preserve">PANDAS. Documentação de leitura Excel e manipulação de dados. Disponível em: https://pandas.pydata.org/docs/. Acesso em: 15 out. 2026.</w:t>
      </w:r>
    </w:p>
    <w:p>
      <w:r>
        <w:rPr>
          <w:color w:val="000000"/>
        </w:rPr>
        <w:t xml:space="preserve">PUCPR. Data Analytics. Enunciado RA1 e modelo de documentação disponibilizados na disciplina, 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Anexo A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Perfil completo, procedência, hashes, tipos e verificações.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evidence/source_profile.json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Anexo B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Balanço real da preparação e motivo exclusivo das exclusões.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evidence/preparation_summary.json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Anexo C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Código executável e testes das regras de preparação.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 xml:space="preserve">projeto_data_analytics.ipynb; tests/test_data_preparation.py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rPr>
          <w:color w:val="000000"/>
        </w:rPr>
        <w:t xml:space="preserve">Problema, recorte e perguntas analíticas definidos.</w:t>
      </w:r>
    </w:p>
    <w:p>
      <w:r>
        <w:rPr>
          <w:color w:val="000000"/>
        </w:rPr>
        <w:t xml:space="preserve">Fonte e procedimentos de ingestão documentados.</w:t>
      </w:r>
    </w:p>
    <w:p>
      <w:r>
        <w:rPr>
          <w:color w:val="000000"/>
        </w:rPr>
        <w:t xml:space="preserve">Qualidade avaliada com evidências verificáveis.</w:t>
      </w:r>
    </w:p>
    <w:p>
      <w:r>
        <w:rPr>
          <w:color w:val="000000"/>
        </w:rPr>
        <w:t xml:space="preserve">Decisões de limpeza justificadas e validadas.</w:t>
      </w:r>
    </w:p>
    <w:p>
      <w:r>
        <w:rPr>
          <w:color w:val="000000"/>
        </w:rPr>
        <w:t xml:space="preserve">Conjunto preparado e exclusões identificados.</w:t>
      </w:r>
    </w:p>
    <w:p>
      <w:r>
        <w:rPr>
          <w:color w:val="000000"/>
        </w:rPr>
        <w:t xml:space="preserve">Instruções e dependências incluídas; publicação remota pendente.</w:t>
      </w:r>
    </w:p>
    <w:p>
      <w:r>
        <w:rPr>
          <w:color w:val="000000"/>
        </w:rPr>
        <w:t xml:space="preserve">Campos pessoais confirmados e exemplos substituídos; revisão final pela equipe antes do envio.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