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9B1830"/>
          <w:sz w:val="38"/>
        </w:rPr>
        <w:t>PUCPR</w:t>
      </w:r>
    </w:p>
    <w:p>
      <w:r>
        <w:rPr>
          <w:sz w:val="18"/>
        </w:rPr>
        <w:t>PONTIFÍCIA UNIVERSIDADE CATÓLICA DO PARANÁ</w:t>
      </w:r>
    </w:p>
    <w:p>
      <w:r>
        <w:rPr>
          <w:sz w:val="18"/>
        </w:rPr>
        <w:t>DATA ANALYTICS   /   PROJETO BASEADO EM PROBLEMAS</w:t>
      </w:r>
    </w:p>
    <w:p>
      <w:pPr>
        <w:spacing w:after="500"/>
      </w:pPr>
    </w:p>
    <w:p>
      <w:r>
        <w:rPr>
          <w:b/>
          <w:color w:val="9B1830"/>
          <w:sz w:val="96"/>
        </w:rPr>
        <w:t>RA1</w:t>
      </w:r>
    </w:p>
    <w:p>
      <w:pPr>
        <w:pStyle w:val="Title"/>
      </w:pPr>
      <w:r>
        <w:t>Ingestão e preparação</w:t>
        <w:br/>
        <w:t>dos dados</w:t>
      </w:r>
    </w:p>
    <w:p>
      <w:pPr>
        <w:pStyle w:val="Subtitle"/>
      </w:pPr>
      <w:r>
        <w:rPr>
          <w:color w:val="000000"/>
        </w:rPr>
        <w:t xml:space="preserve">Documentação da entrega</w:t>
      </w:r>
    </w:p>
    <w:p>
      <w:pPr>
        <w:spacing w:after="300"/>
      </w:pPr>
    </w:p>
    <w:p>
      <w:pPr>
        <w:spacing w:after="400"/>
      </w:pPr>
      <w:r>
        <w:rPr>
          <w:b/>
        </w:rPr>
        <w:t xml:space="preserve">Projeto  </w:t>
      </w:r>
      <w:r>
        <w:rPr>
          <w:color w:val="000000"/>
        </w:rPr>
        <w:t xml:space="preserve">Preparação de dados e acompanhamento de vendas de uma loja online</w:t>
      </w:r>
    </w:p>
    <w:p>
      <w:pPr>
        <w:spacing w:after="240"/>
      </w:pPr>
      <w:r>
        <w:rPr>
          <w:b/>
        </w:rPr>
        <w:t xml:space="preserve">Curso e turma  </w:t>
      </w:r>
      <w:r>
        <w:rPr>
          <w:color w:val="000000"/>
        </w:rPr>
        <w:t xml:space="preserve">Sistemas de Informação | 6º período</w:t>
      </w:r>
    </w:p>
    <w:p>
      <w:pPr>
        <w:spacing w:after="240"/>
      </w:pPr>
      <w:r>
        <w:rPr>
          <w:b/>
        </w:rPr>
        <w:t xml:space="preserve">Professor ou professora  </w:t>
      </w:r>
      <w:r>
        <w:rPr>
          <w:color w:val="000000"/>
        </w:rPr>
        <w:t xml:space="preserve">Marina de Lara</w:t>
      </w:r>
    </w:p>
    <w:p>
      <w:pPr>
        <w:spacing w:after="400"/>
      </w:pPr>
      <w:r>
        <w:rPr>
          <w:b/>
        </w:rPr>
        <w:t xml:space="preserve">Equipe  </w:t>
      </w:r>
      <w:r>
        <w:rPr>
          <w:color w:val="000000"/>
        </w:rPr>
        <w:t xml:space="preserve">Gastão Eduardo e Gustavo Schott</w:t>
      </w:r>
    </w:p>
    <w:p>
      <w:pPr>
        <w:spacing w:after="240"/>
      </w:pPr>
      <w:r>
        <w:rPr>
          <w:b/>
        </w:rPr>
        <w:t xml:space="preserve">Repositório  </w:t>
      </w:r>
      <w:r>
        <w:rPr>
          <w:color w:val="000000"/>
        </w:rPr>
        <w:t>https://github.com/ghastsantos/data-analytics-ra1-ra2</w:t>
      </w:r>
    </w:p>
    <w:p>
      <w:pPr>
        <w:spacing w:after="240"/>
      </w:pPr>
      <w:r>
        <w:rPr>
          <w:b/>
        </w:rPr>
        <w:t xml:space="preserve">Entrega  </w:t>
      </w:r>
      <w:r>
        <w:rPr>
          <w:color w:val="000000"/>
        </w:rPr>
        <w:t xml:space="preserve">21/10/2026</w:t>
      </w:r>
    </w:p>
    <w:p>
      <w:pPr>
        <w:spacing w:after="300"/>
      </w:pPr>
    </w:p>
    <w:p>
      <w:r>
        <w:br w:type="page"/>
      </w:r>
    </w:p>
    <w:p>
      <w:r>
        <w:rPr>
          <w:b/>
          <w:color w:val="9B1830"/>
          <w:sz w:val="20"/>
        </w:rPr>
        <w:t>RA1   /   01</w:t>
      </w:r>
    </w:p>
    <w:p>
      <w:pPr>
        <w:pStyle w:val="Heading1"/>
      </w:pPr>
      <w:r>
        <w:t>Problema e perguntas analíticas</w:t>
      </w:r>
    </w:p>
    <w:p>
      <w:pPr>
        <w:pStyle w:val="Heading2"/>
      </w:pPr>
      <w:r>
        <w:t>Contexto e problema</w:t>
      </w:r>
    </w:p>
    <w:p>
      <w:pPr>
        <w:spacing w:after="160"/>
      </w:pPr>
      <w:r>
        <w:rPr>
          <w:color w:val="000000"/>
        </w:rPr>
        <w:t xml:space="preserve">O projeto prepara registros de uma loja online para permitir o acompanhamento posterior de vendas por período, produto e país. O arquivo reúne itens de mercadorias, cancelamentos e lançamentos administrativos. Misturar esses registros ou interpretar cada linha como um pedido pode distorcer a leitura da operação. A etapa RA1 documenta a origem, mede a qualidade e produz um conjunto rastreável para as próximas análises.</w:t>
      </w:r>
    </w:p>
    <w:p>
      <w:pPr>
        <w:pStyle w:val="Heading2"/>
      </w:pPr>
      <w:r>
        <w:t>Objetivo e recorte</w:t>
      </w:r>
    </w:p>
    <w:p>
      <w:pPr>
        <w:spacing w:after="160"/>
      </w:pPr>
      <w:r>
        <w:rPr>
          <w:color w:val="000000"/>
        </w:rPr>
        <w:t xml:space="preserve">Preparar registros positivos de mercadorias da base Online Retail, entre 1º de dezembro de 2010 e 9 de dezembro de 2011. A unidade de análise é o item da transação. O recorte não representa receita líquida: retirar linhas de cancelamento não desfaz automaticamente a venda original. Agregações de negócio, indicadores e conclusões ficam fora deste relatório RA1.</w:t>
      </w:r>
    </w:p>
    <w:p>
      <w:pPr>
        <w:pStyle w:val="Heading2"/>
      </w:pPr>
      <w:r>
        <w:t>Perguntas analíticas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5102"/>
        <w:gridCol w:w="3798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51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Pergunta a investigar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Dados necessários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P1</w:t>
            </w:r>
          </w:p>
        </w:tc>
        <w:tc>
          <w:tcPr>
            <w:tcW w:type="dxa" w:w="51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Como a quantidade registrada de mercadorias varia ao longo do período?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InvoiceDate, Quantity; registros positivos de mercadorias.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P2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Quais produtos concentram as quantidades registradas nesse recorte?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StockCode, Description, Quantity; mesmo período e filtros.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P3</w:t>
            </w:r>
          </w:p>
        </w:tc>
        <w:tc>
          <w:tcPr>
            <w:tcW w:type="dxa" w:w="51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Como as quantidades registradas se distribuem entre os países?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Country, Quantity; mesmo período e filtros.</w:t>
            </w:r>
          </w:p>
        </w:tc>
      </w:tr>
    </w:tbl>
    <w:p>
      <w:pPr>
        <w:spacing w:after="0"/>
      </w:pPr>
    </w:p>
    <w:p>
      <w:pPr>
        <w:pStyle w:val="Heading2"/>
      </w:pPr>
      <w:r>
        <w:t>Viabilidade inicial</w:t>
      </w:r>
    </w:p>
    <w:p>
      <w:pPr>
        <w:spacing w:after="160"/>
      </w:pPr>
      <w:r>
        <w:rPr>
          <w:color w:val="000000"/>
        </w:rPr>
        <w:t xml:space="preserve">A fonte contém data/hora, produto, quantidade, preço unitário em GBP e país, suficientes para formular P1 a P3. CustomerID não é obrigatório para essas perguntas. Ausências de cliente limitam análises individuais; a falta de vínculo explícito entre venda e cancelamento exige regra posterior de reconciliação. A base é histórica e não descreve o desempenho atual de uma empresa.</w:t>
      </w:r>
    </w:p>
    <w:p>
      <w:r>
        <w:br w:type="page"/>
      </w:r>
    </w:p>
    <w:p>
      <w:r>
        <w:rPr>
          <w:b/>
          <w:color w:val="9B1830"/>
          <w:sz w:val="20"/>
        </w:rPr>
        <w:t>RA1   /   02</w:t>
      </w:r>
    </w:p>
    <w:p>
      <w:pPr>
        <w:pStyle w:val="Heading1"/>
      </w:pPr>
      <w:r>
        <w:t>Fontes de dados e ingestão</w:t>
      </w:r>
    </w:p>
    <w:p>
      <w:pPr>
        <w:pStyle w:val="Heading2"/>
      </w:pPr>
      <w:r>
        <w:t>Ficha da fonte</w:t>
      </w:r>
    </w:p>
    <w:p>
      <w:pPr>
        <w:spacing w:after="160"/>
      </w:pPr>
      <w:r>
        <w:rPr>
          <w:b/>
        </w:rPr>
        <w:t xml:space="preserve">Identificação  </w:t>
      </w:r>
      <w:r>
        <w:rPr>
          <w:color w:val="000000"/>
        </w:rPr>
        <w:t xml:space="preserve">F1 | Online Retail</w:t>
      </w:r>
    </w:p>
    <w:p>
      <w:pPr>
        <w:spacing w:after="160"/>
      </w:pPr>
      <w:r>
        <w:rPr>
          <w:b/>
        </w:rPr>
        <w:t xml:space="preserve">Origem e acesso  </w:t>
      </w:r>
      <w:r>
        <w:rPr>
          <w:color w:val="000000"/>
        </w:rPr>
        <w:t xml:space="preserve">Daqing Chen / UCI Machine Learning Repository. https://archive.ics.uci.edu/dataset/352/online+retail. Acesso em 15/10/2026.</w:t>
      </w:r>
    </w:p>
    <w:p>
      <w:pPr>
        <w:spacing w:after="160"/>
      </w:pPr>
      <w:r>
        <w:rPr>
          <w:b/>
        </w:rPr>
        <w:t xml:space="preserve">Formato e volume  </w:t>
      </w:r>
      <w:r>
        <w:rPr>
          <w:color w:val="000000"/>
        </w:rPr>
        <w:t xml:space="preserve">XLSX, aba Online Retail; 541.909 registros e 8 atributos. ZIP e XLSX originais preservados.</w:t>
      </w:r>
    </w:p>
    <w:p>
      <w:pPr>
        <w:spacing w:after="160"/>
      </w:pPr>
      <w:r>
        <w:rPr>
          <w:b/>
        </w:rPr>
        <w:t xml:space="preserve">Cobertura  </w:t>
      </w:r>
      <w:r>
        <w:rPr>
          <w:color w:val="000000"/>
        </w:rPr>
        <w:t xml:space="preserve">01/12/2010 a 09/12/2011; varejista online do Reino Unido, com compradores de 38 países observados.</w:t>
      </w:r>
    </w:p>
    <w:p>
      <w:pPr>
        <w:spacing w:after="160"/>
      </w:pPr>
      <w:r>
        <w:rPr>
          <w:b/>
        </w:rPr>
        <w:t xml:space="preserve">Condições de uso  </w:t>
      </w:r>
      <w:r>
        <w:rPr>
          <w:color w:val="000000"/>
        </w:rPr>
        <w:t xml:space="preserve">Creative Commons Attribution 4.0 International (CC BY 4.0). Manter atribuição à fonte e indicar transformações.</w:t>
      </w:r>
    </w:p>
    <w:p>
      <w:pPr>
        <w:pStyle w:val="Heading2"/>
      </w:pPr>
      <w:r>
        <w:t>Relação com o problema</w:t>
      </w:r>
    </w:p>
    <w:p>
      <w:pPr>
        <w:spacing w:after="160"/>
      </w:pPr>
      <w:r>
        <w:rPr>
          <w:color w:val="000000"/>
        </w:rPr>
        <w:t xml:space="preserve">F1 apoia P1 com InvoiceDate e Quantity, P2 com StockCode/Description e Quantity e P3 com Country. UnitPrice permite futuras medidas monetárias, respeitando a moeda GBP e as limitações do recorte. O relatório registra somente a preparação, sem responder às perguntas por agregação.</w:t>
      </w:r>
    </w:p>
    <w:p>
      <w:pPr>
        <w:pStyle w:val="Heading2"/>
      </w:pPr>
      <w:r>
        <w:t>Procedimento de ingestão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706"/>
        <w:gridCol w:w="4025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70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Procedimento ou parâmetro</w:t>
            </w:r>
          </w:p>
        </w:tc>
        <w:tc>
          <w:tcPr>
            <w:tcW w:type="dxa" w:w="402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 no repositório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1</w:t>
            </w:r>
          </w:p>
        </w:tc>
        <w:tc>
          <w:tcPr>
            <w:tcW w:type="dxa" w:w="470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Baixar o ZIP público da UCI, preservar o arquivo e registrar origem/hash.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scripts/profile_source.py; evidence/source_profile.json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2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Extrair o XLSX e ler a aba Online Retail com pandas/read_excel e engine openpyxl; cabeçalho na primeira linha.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scripts/profile_source.py; projeto_data_analytics.ipynb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3</w:t>
            </w:r>
          </w:p>
        </w:tc>
        <w:tc>
          <w:tcPr>
            <w:tcW w:type="dxa" w:w="470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Conferir aba, esquema, 541.909 linhas, 8 colunas e período observado.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evidence/source_profile.json</w:t>
            </w:r>
          </w:p>
        </w:tc>
      </w:tr>
    </w:tbl>
    <w:p>
      <w:pPr>
        <w:spacing w:after="0"/>
      </w:pPr>
    </w:p>
    <w:p>
      <w:pPr>
        <w:pStyle w:val="Heading2"/>
      </w:pPr>
      <w:r>
        <w:t>Resultado da ingestão</w:t>
      </w:r>
    </w:p>
    <w:p>
      <w:pPr>
        <w:spacing w:after="160"/>
      </w:pPr>
      <w:r>
        <w:rPr>
          <w:color w:val="000000"/>
        </w:rPr>
        <w:t xml:space="preserve">Foram carregados 541.909 registros e 8 atributos da aba Online Retail. Os arquivos brutos ficam em data/raw/online_retail_uci.zip e data/raw/Online Retail.xlsx. A proveniência, os hashes SHA-256 e o diagnóstico ficam em evidence/source_profile.json. A obtenção é pública e não exige credenciais.</w:t>
      </w:r>
    </w:p>
    <w:p>
      <w:r>
        <w:br w:type="page"/>
      </w:r>
    </w:p>
    <w:p>
      <w:r>
        <w:rPr>
          <w:b/>
          <w:color w:val="9B1830"/>
          <w:sz w:val="20"/>
        </w:rPr>
        <w:t>RA1   /   03</w:t>
      </w:r>
    </w:p>
    <w:p>
      <w:pPr>
        <w:pStyle w:val="Heading1"/>
      </w:pPr>
      <w:r>
        <w:t>Compreensão e qualidade</w:t>
      </w:r>
    </w:p>
    <w:p>
      <w:pPr>
        <w:spacing w:after="200"/>
      </w:pPr>
      <w:r>
        <w:rPr>
          <w:b/>
        </w:rPr>
        <w:t xml:space="preserve">Unidade de observação  </w:t>
      </w:r>
      <w:r>
        <w:rPr>
          <w:color w:val="000000"/>
        </w:rPr>
        <w:t xml:space="preserve">Uma linha representa um item de transação. Não representa necessariamente um pedido inteiro ou um cliente único.</w:t>
      </w:r>
    </w:p>
    <w:p>
      <w:pPr>
        <w:spacing w:after="200"/>
      </w:pPr>
      <w:r>
        <w:rPr>
          <w:b/>
        </w:rPr>
        <w:t xml:space="preserve">Identificação dos registros  </w:t>
      </w:r>
      <w:r>
        <w:rPr>
          <w:color w:val="000000"/>
        </w:rPr>
        <w:t xml:space="preserve">InvoiceNo e o par InvoiceNo/StockCode não são chaves de linha. SourceRow identifica a linha do XLSX original (cabeçalho na linha 1).</w:t>
      </w:r>
    </w:p>
    <w:p>
      <w:pPr>
        <w:pStyle w:val="Heading2"/>
      </w:pPr>
      <w:r>
        <w:t>Dicionário inicial dos dados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948"/>
        <w:gridCol w:w="2154"/>
        <w:gridCol w:w="2551"/>
      </w:tblGrid>
      <w:tr>
        <w:trPr>
          <w:cantSplit/>
          <w:tblHeader/>
        </w:trPr>
        <w:tc>
          <w:tcPr>
            <w:tcW w:type="dxa" w:w="181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294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215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Tipo e formato</w:t>
            </w:r>
          </w:p>
        </w:tc>
        <w:tc>
          <w:tcPr>
            <w:tcW w:type="dxa" w:w="255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Unidade ou domínio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InvoiceNo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Identificador da transação; C indica cancelamento.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Origem: object; saída: texto.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Identificador categórico; não é chave de linha.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StockCode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Código do item ou do lançamento.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Origem: object; saída: texto.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Código categórico; formato não prova erro.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Description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Descrição informada para o item.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Origem: object; saída: texto aparado.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Texto; sem imputação de descrições.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Quantity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Quantidade registrada no item.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Origem: int64; saída: Int64.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Unidades; positiva no recorte preparado.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InvoiceDate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Data e hora registradas da transação.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datetime; CSV com data/hora.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Sem fuso informado; horário preservado.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UnitPrice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Preço unitário.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Origem: float64; saída: Float64.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GBP; valor positivo no recorte.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CustomerID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Identificação do cliente, quando disponível.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Origem: float64; saída: texto sem .0.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Identificador categórico; NA permitido.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Country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País informado na transação.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Texto.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38 países distintos no bruto.</w:t>
            </w:r>
          </w:p>
        </w:tc>
      </w:tr>
    </w:tbl>
    <w:p>
      <w:pPr>
        <w:spacing w:after="0"/>
      </w:pPr>
    </w:p>
    <w:p>
      <w:pPr>
        <w:pStyle w:val="Heading2"/>
      </w:pPr>
      <w:r>
        <w:t>Diagnóstico de qualidade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3175"/>
        <w:gridCol w:w="3402"/>
        <w:gridCol w:w="2324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17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Verificação e regra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observado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Q1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Ausências por atributo.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CustomerID: 135.080; Description: 1.454; demais: 0.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source_profile.json: null_counts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Q2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Igualdade das oito colunas originais.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5.268 linhas extras após a primeira; não comprova erro de coleta.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source_profile.json: duplicates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Q3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Unicidade de InvoiceNo e InvoiceNo/StockCode.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InvoiceNo não é único; par repetido em 10.684 linhas extras.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source_profile.json: uniqueness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Q4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Prefixo C e quantidade não positiva.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9.288 cancelamentos; 10.624 quantidades negativas; nenhuma zero.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source_profile.json: cancellations, numeric_profile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Q5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Preço não positivo e valores não finitos.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2.517 preços não positivos; campos numéricos finitos.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source_profile.json: numeric_profile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Q6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Datas, tipos e espaços laterais.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Datas válidas no período; 113.452 descrições com espaços laterais. IDs exigem texto.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source_profile.json: dates, schema, leading_or_trailing_whitespace_counts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Q7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Extremos de quantidade e preço.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Quantity: -80.995 a 80.995; UnitPrice: -11.062,06 a 38.970,00 GBP. Magnitude isolada não prova erro.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source_profile.json: numeric_profile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Q8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Semântica dos códigos de item.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Há frete, taxas, ajustes e vouchers. DCGSSBOY, DCGSSGIRL e PADS são mantidos após inspeção; regex isolada foi rejeitada.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source_profile.json: stock_codes, rejected_regex_proposal</w:t>
            </w:r>
          </w:p>
        </w:tc>
      </w:tr>
    </w:tbl>
    <w:p>
      <w:pPr>
        <w:spacing w:after="0"/>
      </w:pPr>
    </w:p>
    <w:p>
      <w:pPr>
        <w:pStyle w:val="Heading2"/>
      </w:pPr>
      <w:r>
        <w:t>Impacto dos problemas identificados</w:t>
      </w:r>
    </w:p>
    <w:p>
      <w:pPr>
        <w:spacing w:after="160"/>
      </w:pPr>
      <w:r>
        <w:rPr>
          <w:color w:val="000000"/>
        </w:rPr>
        <w:t xml:space="preserve">A prioridade é separar tipos de lançamento e explicitar o recorte antes de calcular indicadores. Cancelamentos e quantidades/preços não positivos não são automaticamente erros: ficam fora da saída selecionada e são mantidos em arquivo de exclusões. IDs ausentes restringem análises por cliente. Repetições e extremos positivos exigem interpretação de domínio, e não remoção automática.</w:t>
      </w:r>
    </w:p>
    <w:p>
      <w:r>
        <w:br w:type="page"/>
      </w:r>
    </w:p>
    <w:p>
      <w:r>
        <w:rPr>
          <w:b/>
          <w:color w:val="9B1830"/>
          <w:sz w:val="20"/>
        </w:rPr>
        <w:t>RA1   /   04</w:t>
      </w:r>
    </w:p>
    <w:p>
      <w:pPr>
        <w:pStyle w:val="Heading1"/>
      </w:pPr>
      <w:r>
        <w:t>Limpeza e preparação</w:t>
      </w:r>
    </w:p>
    <w:p>
      <w:pPr>
        <w:pStyle w:val="Heading2"/>
      </w:pPr>
      <w:r>
        <w:t>Registro das decisões</w:t>
      </w:r>
    </w:p>
    <w:p>
      <w:pPr>
        <w:spacing w:after="200"/>
      </w:pPr>
      <w:r>
        <w:rPr>
          <w:b/>
        </w:rPr>
        <w:t xml:space="preserve">Decisão e diagnóstico  </w:t>
      </w:r>
      <w:r>
        <w:rPr>
          <w:color w:val="000000"/>
        </w:rPr>
        <w:t xml:space="preserve">D1 | Q1, Q3 e Q6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>
          <w:color w:val="000000"/>
        </w:rPr>
        <w:t xml:space="preserve">Identificadores, descrições, datas e campos numéricos em todas as linhas de entrada.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>
          <w:color w:val="000000"/>
        </w:rPr>
        <w:t xml:space="preserve">Converter identificadores e categorias para texto; retirar apenas espaços nas extremidades; remover o sufixo .0 de CustomerID conhecido; converter data/hora e campos numéricos com validação. Não inventar cliente, descrição ou fuso. Acrescentar SourceRow antes dos filtros para manter o vínculo com a linha original.</w:t>
      </w:r>
    </w:p>
    <w:p>
      <w:pPr>
        <w:spacing w:after="200"/>
      </w:pPr>
      <w:r>
        <w:rPr>
          <w:b/>
        </w:rPr>
        <w:t xml:space="preserve">Implementação  </w:t>
      </w:r>
      <w:r>
        <w:rPr>
          <w:color w:val="000000"/>
        </w:rPr>
        <w:t xml:space="preserve">scripts/data_preparation.py: prepare_data; projeto_data_analytics.ipynb.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>
          <w:color w:val="000000"/>
        </w:rPr>
        <w:t xml:space="preserve">Tipos e domínio conferidos no perfil e nos testes. SourceRow é único; datas mantêm o período da fonte. O CSV final tem nove colunas e permite rastrear cada linha ao XLSX.</w:t>
      </w:r>
    </w:p>
    <w:p>
      <w:pPr>
        <w:spacing w:after="200"/>
      </w:pPr>
      <w:r>
        <w:rPr>
          <w:b/>
        </w:rPr>
        <w:t xml:space="preserve">Decisão e diagnóstico  </w:t>
      </w:r>
      <w:r>
        <w:rPr>
          <w:color w:val="000000"/>
        </w:rPr>
        <w:t xml:space="preserve">D2 | Q4, Q5 e Q8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>
          <w:color w:val="000000"/>
        </w:rPr>
        <w:t xml:space="preserve">Linhas de cancelamento, valores não positivos e códigos de lançamentos fora do recorte de mercadorias.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>
          <w:color w:val="000000"/>
        </w:rPr>
        <w:t xml:space="preserve">Aplicar regras em ordem: cancelamento, campos essenciais inválidos, quantidade não positiva, preço não positivo, códigos não mercantis explícitos e descrição ausente. Registrar somente o primeiro motivo por linha. Manter os registros retirados em CSV separado. A seleção delimita o recorte; não declara esses lançamentos incorretos nem produz vendas líquidas.</w:t>
      </w:r>
    </w:p>
    <w:p>
      <w:pPr>
        <w:spacing w:after="200"/>
      </w:pPr>
      <w:r>
        <w:rPr>
          <w:b/>
        </w:rPr>
        <w:t xml:space="preserve">Implementação  </w:t>
      </w:r>
      <w:r>
        <w:rPr>
          <w:color w:val="000000"/>
        </w:rPr>
        <w:t xml:space="preserve">scripts/data_preparation.py: prepare_data; lista other_codes e prefixo GIFT_.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>
          <w:color w:val="000000"/>
        </w:rPr>
        <w:t xml:space="preserve">Balanço: 527.761 preparados e 14.148 excluídos. Motivos exclusivos: 9.288 cancelamentos; 1.336 quantidades; 1.181 preços; 2.343 lançamentos não mercantis. Sem perda silenciosa.</w:t>
      </w:r>
    </w:p>
    <w:p>
      <w:r>
        <w:br w:type="page"/>
      </w:r>
    </w:p>
    <w:p>
      <w:pPr>
        <w:spacing w:after="200"/>
      </w:pPr>
      <w:r>
        <w:rPr>
          <w:b/>
        </w:rPr>
        <w:t xml:space="preserve">Decisão e diagnóstico  </w:t>
      </w:r>
      <w:r>
        <w:rPr>
          <w:color w:val="000000"/>
        </w:rPr>
        <w:t xml:space="preserve">D3 | Q1, Q2 e Q7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>
          <w:color w:val="000000"/>
        </w:rPr>
        <w:t xml:space="preserve">Clientes ausentes, linhas iguais nas oito colunas de negócio e valores extremos positivos que passaram pelo recorte.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>
          <w:color w:val="000000"/>
        </w:rPr>
        <w:t xml:space="preserve">Manter CustomerID ausente, repetições exatas e extremos positivos. Ausência de cliente não impede perguntas por produto, tempo e país; igualdade de linhas não prova duplicação acidental; atacadistas podem gerar quantidades elevadas. Registrar essas condições como limites de uso. Conservar bruto, evidências e exclusões para revisão futura.</w:t>
      </w:r>
    </w:p>
    <w:p>
      <w:pPr>
        <w:spacing w:after="200"/>
      </w:pPr>
      <w:r>
        <w:rPr>
          <w:b/>
        </w:rPr>
        <w:t xml:space="preserve">Implementação  </w:t>
      </w:r>
      <w:r>
        <w:rPr>
          <w:color w:val="000000"/>
        </w:rPr>
        <w:t xml:space="preserve">scripts/data_preparation.py: política de retenção; data/raw e data/processed/excluded_records.csv.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>
          <w:color w:val="000000"/>
        </w:rPr>
        <w:t xml:space="preserve">A saída mantém 131.421 clientes ausentes e 5.221 repetições extras nas oito colunas. SourceRow distingue as linhas. Testes verificam que duplicatas e extremos positivos não são eliminados automaticamente.</w:t>
      </w:r>
    </w:p>
    <w:p>
      <w:pPr>
        <w:pStyle w:val="Heading2"/>
      </w:pPr>
      <w:r>
        <w:t>Resumo das intervenções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50"/>
        <w:gridCol w:w="3458"/>
        <w:gridCol w:w="2835"/>
        <w:gridCol w:w="2324"/>
      </w:tblGrid>
      <w:tr>
        <w:trPr>
          <w:cantSplit/>
          <w:tblHeader/>
        </w:trPr>
        <w:tc>
          <w:tcPr>
            <w:tcW w:type="dxa" w:w="850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45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Ação executada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Impacto nos dados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D1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Tipos, espaços e SourceRow.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9 colunas finais; nenhuma exclusão só por cliente ausente.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data_preparation.py; source_profile.json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D2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Separar cancelamentos.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9.288 linhas fora do recorte.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preparation_summary.json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D2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Separar quantidades/preços não positivos.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1.336 por quantidade; 1.181 por preço.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preparation_summary.json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D2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Separar lançamentos não mercantis.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2.343 linhas; códigos explícitos e GIFT_.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preparation_summary.json; excluded_records.csv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D3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Manter ausências de cliente, repetições e extremos.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131.421 NA em cliente; 5.221 repetições extras.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preparation_summary.json; tests/test_data_preparation.py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9B1830"/>
          <w:sz w:val="20"/>
        </w:rPr>
        <w:t>RA1   /   05</w:t>
      </w:r>
    </w:p>
    <w:p>
      <w:pPr>
        <w:pStyle w:val="Heading1"/>
      </w:pPr>
      <w:r>
        <w:t>Conjunto de dados resultante</w:t>
      </w:r>
    </w:p>
    <w:p>
      <w:pPr>
        <w:spacing w:after="200"/>
      </w:pPr>
      <w:r>
        <w:rPr>
          <w:b/>
        </w:rPr>
        <w:t xml:space="preserve">Arquivo ou conjunto final  </w:t>
      </w:r>
      <w:r>
        <w:rPr>
          <w:color w:val="000000"/>
        </w:rPr>
        <w:t xml:space="preserve">sales_prepared.csv | data/processed/sales_prepared.csv | CSV UTF-8; exclusões em data/processed/excluded_records.csv.</w:t>
      </w:r>
    </w:p>
    <w:p>
      <w:pPr>
        <w:spacing w:after="200"/>
      </w:pPr>
      <w:r>
        <w:rPr>
          <w:b/>
        </w:rPr>
        <w:t xml:space="preserve">Unidade de observação final  </w:t>
      </w:r>
      <w:r>
        <w:rPr>
          <w:color w:val="000000"/>
        </w:rPr>
        <w:t xml:space="preserve">Item de transação positivo de mercadoria, dentro do recorte adotado, com rastreio pela coluna SourceRow.</w:t>
      </w:r>
    </w:p>
    <w:p>
      <w:pPr>
        <w:spacing w:after="200"/>
      </w:pPr>
      <w:r>
        <w:rPr>
          <w:b/>
        </w:rPr>
        <w:t xml:space="preserve">Dicionário atualizado  </w:t>
      </w:r>
      <w:r>
        <w:rPr>
          <w:color w:val="000000"/>
        </w:rPr>
        <w:t xml:space="preserve">Oito atributos da seção 3, acrescidos de SourceRow: inteiro que aponta a linha original do XLSX. Total de 9 atributos.</w:t>
      </w:r>
    </w:p>
    <w:p>
      <w:pPr>
        <w:pStyle w:val="Heading2"/>
      </w:pPr>
      <w:r>
        <w:t>Comparação antes e depois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1701"/>
        <w:gridCol w:w="1701"/>
        <w:gridCol w:w="3798"/>
      </w:tblGrid>
      <w:tr>
        <w:trPr>
          <w:cantSplit/>
          <w:tblHeader/>
        </w:trPr>
        <w:tc>
          <w:tcPr>
            <w:tcW w:type="dxa" w:w="226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ingestão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preparação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Explicação da diferença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Registros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541.909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527.761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14.148 linhas fora do recorte; todas no CSV de exclusões.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Atributos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8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9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Inclusão de SourceRow para rastrear a linha do XLSX.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CustomerID ausente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135.080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131.421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Redução decorre dos filtros de escopo; ausência não é critério de exclusão.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Description ausente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1.454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Linhas afetadas já saíram por regras anteriores; não houve imputação.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Repetições extras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5.268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5.221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Igualdade nas oito colunas; diferença decorre do recorte, sem deduplicação.</w:t>
            </w:r>
          </w:p>
        </w:tc>
      </w:tr>
    </w:tbl>
    <w:p>
      <w:pPr>
        <w:spacing w:after="0"/>
      </w:pPr>
    </w:p>
    <w:p>
      <w:pPr>
        <w:pStyle w:val="Heading2"/>
      </w:pPr>
      <w:r>
        <w:t>Verificações finais</w:t>
      </w:r>
    </w:p>
    <w:p>
      <w:pPr>
        <w:spacing w:after="160"/>
      </w:pPr>
      <w:r>
        <w:rPr>
          <w:color w:val="000000"/>
        </w:rPr>
        <w:t xml:space="preserve">O balanço confirma 527.761 preparados + 14.148 excluídos = 541.909 de entrada. SourceRow é único na saída e não há interseção entre preparados e excluídos. Quantidades são inteiras positivas, preços são finitos e positivos, datas são válidas e os campos essenciais estão preenchidos. CustomerID admite ausência por decisão explícita. Evidências: evidence/preparation_summary.json, evidence/source_profile.json e testes em tests/test_data_preparation.py.</w:t>
      </w:r>
    </w:p>
    <w:p>
      <w:pPr>
        <w:pStyle w:val="Heading2"/>
      </w:pPr>
      <w:r>
        <w:t>Limitações e pendências</w:t>
      </w:r>
    </w:p>
    <w:p>
      <w:pPr>
        <w:spacing w:after="160"/>
      </w:pPr>
      <w:r>
        <w:rPr>
          <w:color w:val="000000"/>
        </w:rPr>
        <w:t xml:space="preserve">Permanecem 131.421 registros sem CustomerID e 5.221 repetições extras nas oito colunas de negócio, preservadas sem presumir erro. Extremos positivos também permanecem; o contexto inclui atacadistas. O recorte não reconcilia cancelamentos com vendas originais e não mede receita líquida. O horário da fonte não informa fuso; não foi atribuído UTC. A base histórica requer cautela para qualquer generalização atual.</w:t>
      </w:r>
    </w:p>
    <w:p>
      <w:r>
        <w:br w:type="page"/>
      </w:r>
    </w:p>
    <w:p>
      <w:r>
        <w:rPr>
          <w:b/>
          <w:color w:val="9B1830"/>
          <w:sz w:val="20"/>
        </w:rPr>
        <w:t>RA1   /   06</w:t>
      </w:r>
    </w:p>
    <w:p>
      <w:pPr>
        <w:pStyle w:val="Heading1"/>
      </w:pPr>
      <w:r>
        <w:t>Organização e reprodutibilidade</w:t>
      </w:r>
    </w:p>
    <w:p>
      <w:pPr>
        <w:spacing w:after="200"/>
      </w:pPr>
      <w:r>
        <w:rPr>
          <w:b/>
        </w:rPr>
        <w:t xml:space="preserve">Repositório e versão  </w:t>
      </w:r>
      <w:r>
        <w:rPr>
          <w:color w:val="000000"/>
        </w:rPr>
        <w:t xml:space="preserve">Pasta local data-analytics; URL remota, branch/tag e commit da entrega pendentes de publicação.</w:t>
      </w:r>
    </w:p>
    <w:p>
      <w:pPr>
        <w:spacing w:after="200"/>
      </w:pPr>
      <w:r>
        <w:rPr>
          <w:b/>
        </w:rPr>
        <w:t xml:space="preserve">Ambiente  </w:t>
      </w:r>
      <w:r>
        <w:rPr>
          <w:color w:val="000000"/>
        </w:rPr>
        <w:t xml:space="preserve">Python 3.12.15; pandas 2.3.3; openpyxl 3.1.5; Jupyter. Execução integral Linux com PySpark 3.5.7 e Java 17. Dependências: requirements.txt; instruções no README.md.</w:t>
      </w:r>
    </w:p>
    <w:p>
      <w:pPr>
        <w:pStyle w:val="Heading2"/>
      </w:pPr>
      <w:r>
        <w:t>Localização dos artefatos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2"/>
        <w:gridCol w:w="6066"/>
      </w:tblGrid>
      <w:tr>
        <w:trPr>
          <w:cantSplit/>
          <w:tblHeader/>
        </w:trPr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Artefato</w:t>
            </w:r>
          </w:p>
        </w:tc>
        <w:tc>
          <w:tcPr>
            <w:tcW w:type="dxa" w:w="606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Caminho ou forma de obtenção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Dados brutos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data/raw/Online Retail.xlsx; ZIP original em data/raw/.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Código de ingestão e preparação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projeto_data_analytics.ipynb; scripts/profile_source.py; scripts/data_preparation.py.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Dados preparados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data/processed/sales_prepared.csv e excluded_records.csv.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Documentação e dependências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README.md; requirements.txt; docs/relatorio_ra1.docx; evidências em evidence/ e testes em tests/.</w:t>
            </w:r>
          </w:p>
        </w:tc>
      </w:tr>
    </w:tbl>
    <w:p>
      <w:pPr>
        <w:spacing w:after="0"/>
      </w:pPr>
    </w:p>
    <w:p>
      <w:pPr>
        <w:pStyle w:val="Heading2"/>
      </w:pPr>
      <w:r>
        <w:t>Passos para reprodução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5329"/>
        <w:gridCol w:w="3402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5329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Instrução executável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1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Colab: enviar o notebook e escolher Executar tudo. Local: python -m pip install -r requirements.txt; Java 17.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Ambiente pronto; o notebook obtém a fonte pública se necessário.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2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Local: jupyter notebook projeto_data_analytics.ipynb. Alternativa automática: python scripts/execute_notebook.py --kernel python3.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Células executadas em ordem; RA1 e RA2 separados.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3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Executar: python -m unittest discover -s tests -v; conferir evidence/preparation_summary.json.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Testes aprovados e balanço preservado.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4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Conferir sales_prepared.csv e excluded_records.csv em data/processed; consultar evidence/.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Saídas, perfil e registro de execução disponíveis.</w:t>
            </w:r>
          </w:p>
        </w:tc>
      </w:tr>
    </w:tbl>
    <w:p>
      <w:pPr>
        <w:spacing w:after="0"/>
      </w:pPr>
    </w:p>
    <w:p>
      <w:pPr>
        <w:pStyle w:val="Heading2"/>
      </w:pPr>
      <w:r>
        <w:t>Verificação da reprodução</w:t>
      </w:r>
    </w:p>
    <w:p>
      <w:pPr>
        <w:spacing w:after="160"/>
      </w:pPr>
      <w:r>
        <w:rPr>
          <w:color w:val="000000"/>
        </w:rPr>
        <w:t xml:space="preserve">Execução automatizada integral em 15/10/2026, em Linux. O registro evidence/execution_record.json confirma as verificações do RA1 e a chegada à última célula. Balanço: 527.761 preparados e 14.148 segregados. Responsáveis pelo projeto: Gastão Eduardo e Gustavo Schott.</w:t>
      </w:r>
    </w:p>
    <w:p>
      <w:r>
        <w:br w:type="page"/>
      </w:r>
    </w:p>
    <w:p>
      <w:r>
        <w:rPr>
          <w:b/>
          <w:color w:val="9B1830"/>
          <w:sz w:val="20"/>
        </w:rPr>
        <w:t>RA1   /   07</w:t>
      </w:r>
    </w:p>
    <w:p>
      <w:pPr>
        <w:pStyle w:val="Heading1"/>
      </w:pPr>
      <w:r>
        <w:t>Referências e anexos</w:t>
      </w:r>
    </w:p>
    <w:p>
      <w:pPr>
        <w:pStyle w:val="Heading2"/>
      </w:pPr>
      <w:r>
        <w:t>Referências</w:t>
      </w:r>
    </w:p>
    <w:p>
      <w:r>
        <w:rPr>
          <w:color w:val="000000"/>
        </w:rPr>
        <w:t xml:space="preserve">CHEN, Daqing. Online Retail. UCI Machine Learning Repository, 2015. DOI: https://doi.org/10.24432/C5BW33. Disponível em: https://archive.ics.uci.edu/dataset/352/online+retail. Acesso em: 15 out. 2026.</w:t>
      </w:r>
    </w:p>
    <w:p>
      <w:r>
        <w:rPr>
          <w:color w:val="000000"/>
        </w:rPr>
        <w:t xml:space="preserve">CREATIVE COMMONS. Attribution 4.0 International (CC BY 4.0). Disponível em: https://creativecommons.org/licenses/by/4.0/. Acesso em: 15 out. 2026.</w:t>
      </w:r>
    </w:p>
    <w:p>
      <w:r>
        <w:rPr>
          <w:color w:val="000000"/>
        </w:rPr>
        <w:t xml:space="preserve">PANDAS. Documentação de leitura Excel e manipulação de dados. Disponível em: https://pandas.pydata.org/docs/. Acesso em: 15 out. 2026.</w:t>
      </w:r>
    </w:p>
    <w:p>
      <w:r>
        <w:rPr>
          <w:color w:val="000000"/>
        </w:rPr>
        <w:t xml:space="preserve">PUCPR. Data Analytics. Enunciado RA1 e modelo de documentação disponibilizados na disciplina, 2026.</w:t>
      </w:r>
    </w:p>
    <w:p>
      <w:pPr>
        <w:pStyle w:val="Heading2"/>
      </w:pPr>
      <w:r>
        <w:t>Anexos opcionais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932"/>
        <w:gridCol w:w="2835"/>
      </w:tblGrid>
      <w:tr>
        <w:trPr>
          <w:cantSplit/>
          <w:tblHeader/>
        </w:trPr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Identificação</w:t>
            </w:r>
          </w:p>
        </w:tc>
        <w:tc>
          <w:tcPr>
            <w:tcW w:type="dxa" w:w="493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Localização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Anexo A</w:t>
            </w:r>
          </w:p>
        </w:tc>
        <w:tc>
          <w:tcPr>
            <w:tcW w:type="dxa" w:w="493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Perfil completo, procedência, hashes, tipos e verificações.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evidence/source_profile.json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Anexo B</w:t>
            </w:r>
          </w:p>
        </w:tc>
        <w:tc>
          <w:tcPr>
            <w:tcW w:type="dxa" w:w="493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Balanço real da preparação e motivo exclusivo das exclusões.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evidence/preparation_summary.json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Anexo C</w:t>
            </w:r>
          </w:p>
        </w:tc>
        <w:tc>
          <w:tcPr>
            <w:tcW w:type="dxa" w:w="493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Código executável e testes das regras de preparação.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projeto_data_analytics.ipynb; tests/test_data_preparation.py</w:t>
            </w:r>
          </w:p>
        </w:tc>
      </w:tr>
    </w:tbl>
    <w:p>
      <w:pPr>
        <w:spacing w:after="0"/>
      </w:pPr>
    </w:p>
    <w:p>
      <w:pPr>
        <w:pStyle w:val="Heading2"/>
      </w:pPr>
      <w:r>
        <w:t>Conferência da entrega</w:t>
      </w:r>
    </w:p>
    <w:p>
      <w:r>
        <w:rPr>
          <w:color w:val="000000"/>
        </w:rPr>
        <w:t xml:space="preserve">Problema, recorte e perguntas analíticas definidos.</w:t>
      </w:r>
    </w:p>
    <w:p>
      <w:r>
        <w:rPr>
          <w:color w:val="000000"/>
        </w:rPr>
        <w:t xml:space="preserve">Fonte e procedimentos de ingestão documentados.</w:t>
      </w:r>
    </w:p>
    <w:p>
      <w:r>
        <w:rPr>
          <w:color w:val="000000"/>
        </w:rPr>
        <w:t xml:space="preserve">Qualidade avaliada com evidências verificáveis.</w:t>
      </w:r>
    </w:p>
    <w:p>
      <w:r>
        <w:rPr>
          <w:color w:val="000000"/>
        </w:rPr>
        <w:t xml:space="preserve">Decisões de limpeza justificadas e validadas.</w:t>
      </w:r>
    </w:p>
    <w:p>
      <w:r>
        <w:rPr>
          <w:color w:val="000000"/>
        </w:rPr>
        <w:t xml:space="preserve">Conjunto preparado e exclusões identificados.</w:t>
      </w:r>
    </w:p>
    <w:p>
      <w:r>
        <w:rPr>
          <w:color w:val="000000"/>
        </w:rPr>
        <w:t xml:space="preserve">Instruções e dependências incluídas; publicação remota pendente.</w:t>
      </w:r>
    </w:p>
    <w:p>
      <w:r>
        <w:rPr>
          <w:color w:val="000000"/>
        </w:rPr>
        <w:t xml:space="preserve">Campos pessoais confirmados e exemplos substituídos; revisão final pela equipe antes do envio.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30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RA1   /   INGESTÃO E PREPARAÇÃO DOS DADOS</w:t>
    </w:r>
    <w:r>
      <w:t xml:space="preserve">                                   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16"/>
      </w:rPr>
      <w:t>PUCPR   /   DATA ANALYTICS                                               PjBL   •   RA1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RA1 — Ingestão e preparação dos dados</dc:title>
  <dc:subject>Template preenchível para Data Analytics</dc:subject>
  <dc:creator/>
  <cp:keywords>RA1, Data Analytics, template, preparação de dados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