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0039" w:rsidRPr="000B0039" w:rsidRDefault="000B0039" w:rsidP="000B0039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Verdana" w:eastAsia="Times New Roman" w:hAnsi="Verdana" w:cs="Times New Roman"/>
          <w:b/>
          <w:bCs/>
          <w:color w:val="990000"/>
          <w:kern w:val="36"/>
          <w:sz w:val="29"/>
          <w:szCs w:val="29"/>
          <w:lang w:eastAsia="fr-FR"/>
        </w:rPr>
      </w:pPr>
      <w:r w:rsidRPr="000B0039">
        <w:rPr>
          <w:rFonts w:ascii="Verdana" w:eastAsia="Times New Roman" w:hAnsi="Verdana" w:cs="Times New Roman"/>
          <w:b/>
          <w:bCs/>
          <w:color w:val="990000"/>
          <w:kern w:val="36"/>
          <w:sz w:val="29"/>
          <w:szCs w:val="29"/>
          <w:lang w:eastAsia="fr-FR"/>
        </w:rPr>
        <w:t>Adverbe en début de phrase</w:t>
      </w:r>
    </w:p>
    <w:p w:rsidR="000B0039" w:rsidRPr="000B0039" w:rsidRDefault="000B0039" w:rsidP="000B003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fr-FR"/>
        </w:rPr>
      </w:pPr>
      <w:r w:rsidRPr="000B0039">
        <w:rPr>
          <w:rFonts w:ascii="Verdana" w:eastAsia="Times New Roman" w:hAnsi="Verdana" w:cs="Times New Roman"/>
          <w:color w:val="000000"/>
          <w:sz w:val="20"/>
          <w:szCs w:val="20"/>
          <w:lang w:eastAsia="fr-FR"/>
        </w:rPr>
        <w:t>Les adverbes de liaison </w:t>
      </w:r>
      <w:r w:rsidRPr="000B0039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eastAsia="fr-FR"/>
        </w:rPr>
        <w:t>ainsi, à peine, aussi, du moins, encore, en vain, peut-être, à plus forte raison, sans doute,</w:t>
      </w:r>
      <w:r w:rsidRPr="000B0039">
        <w:rPr>
          <w:rFonts w:ascii="Verdana" w:eastAsia="Times New Roman" w:hAnsi="Verdana" w:cs="Times New Roman"/>
          <w:color w:val="000000"/>
          <w:sz w:val="20"/>
          <w:szCs w:val="20"/>
          <w:lang w:eastAsia="fr-FR"/>
        </w:rPr>
        <w:t> etc., ne sont pas suivis de la virgule lorsque le sujet est inversé :</w:t>
      </w:r>
    </w:p>
    <w:p w:rsidR="000B0039" w:rsidRPr="000B0039" w:rsidRDefault="000B0039" w:rsidP="000B003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</w:pPr>
      <w:r w:rsidRPr="000B0039"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  <w:t>Faites vos recherches. Ainsi serez-vous assuré de ne pas vous tromper.</w:t>
      </w:r>
    </w:p>
    <w:p w:rsidR="000B0039" w:rsidRPr="000B0039" w:rsidRDefault="000B0039" w:rsidP="000B003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</w:pPr>
      <w:r w:rsidRPr="000B0039"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  <w:t xml:space="preserve">On m’apprend que Pierre Levasseur n’a pas pu assister à la réunion. Peut-être </w:t>
      </w:r>
      <w:proofErr w:type="spellStart"/>
      <w:r w:rsidRPr="000B0039"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  <w:t>a-t-il</w:t>
      </w:r>
      <w:proofErr w:type="spellEnd"/>
      <w:r w:rsidRPr="000B0039"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  <w:t xml:space="preserve"> eu un empêchement.</w:t>
      </w:r>
    </w:p>
    <w:p w:rsidR="000B0039" w:rsidRPr="000B0039" w:rsidRDefault="000B0039" w:rsidP="000B003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</w:pPr>
      <w:r w:rsidRPr="000B0039"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  <w:t>Nous n’avons malheureusement jamais reçu votre lettre. Sans doute s’est-elle égarée.</w:t>
      </w:r>
    </w:p>
    <w:p w:rsidR="000B0039" w:rsidRPr="000B0039" w:rsidRDefault="000B0039" w:rsidP="000B003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fr-FR"/>
        </w:rPr>
      </w:pPr>
      <w:r w:rsidRPr="000B0039">
        <w:rPr>
          <w:rFonts w:ascii="Verdana" w:eastAsia="Times New Roman" w:hAnsi="Verdana" w:cs="Times New Roman"/>
          <w:color w:val="000000"/>
          <w:sz w:val="20"/>
          <w:szCs w:val="20"/>
          <w:lang w:eastAsia="fr-FR"/>
        </w:rPr>
        <w:t>Dans les cas où ces adverbes ne sont pas suivis d’une inversion, la virgule fait ressortir l’enchaînement des idées et contribue à la clarté de l’expression, tandis que son absence a pour effet d’accélérer le débit, le mouvement de la phrase. La virgule a donc plus souvent tendance à intervenir dans les phrases longues que dans les phrases courtes (voir aussi </w:t>
      </w:r>
      <w:hyperlink r:id="rId5" w:history="1">
        <w:r w:rsidRPr="000B0039">
          <w:rPr>
            <w:rFonts w:ascii="Verdana" w:eastAsia="Times New Roman" w:hAnsi="Verdana" w:cs="Times New Roman"/>
            <w:b/>
            <w:bCs/>
            <w:color w:val="333333"/>
            <w:sz w:val="16"/>
            <w:szCs w:val="16"/>
            <w:u w:val="single"/>
            <w:lang w:eastAsia="fr-FR"/>
          </w:rPr>
          <w:t>6.1.14 Complément circonstanciel</w:t>
        </w:r>
      </w:hyperlink>
      <w:r w:rsidRPr="000B0039">
        <w:rPr>
          <w:rFonts w:ascii="Verdana" w:eastAsia="Times New Roman" w:hAnsi="Verdana" w:cs="Times New Roman"/>
          <w:color w:val="000000"/>
          <w:sz w:val="20"/>
          <w:szCs w:val="20"/>
          <w:lang w:eastAsia="fr-FR"/>
        </w:rPr>
        <w:t> et </w:t>
      </w:r>
      <w:hyperlink r:id="rId6" w:history="1">
        <w:r w:rsidRPr="000B0039">
          <w:rPr>
            <w:rFonts w:ascii="Verdana" w:eastAsia="Times New Roman" w:hAnsi="Verdana" w:cs="Times New Roman"/>
            <w:b/>
            <w:bCs/>
            <w:color w:val="333333"/>
            <w:sz w:val="16"/>
            <w:szCs w:val="16"/>
            <w:u w:val="single"/>
            <w:lang w:eastAsia="fr-FR"/>
          </w:rPr>
          <w:t>6.1.15 Adverbes et charnières</w:t>
        </w:r>
      </w:hyperlink>
      <w:r w:rsidRPr="000B0039">
        <w:rPr>
          <w:rFonts w:ascii="Verdana" w:eastAsia="Times New Roman" w:hAnsi="Verdana" w:cs="Times New Roman"/>
          <w:color w:val="000000"/>
          <w:sz w:val="20"/>
          <w:szCs w:val="20"/>
          <w:lang w:eastAsia="fr-FR"/>
        </w:rPr>
        <w:t>) :</w:t>
      </w:r>
    </w:p>
    <w:p w:rsidR="000B0039" w:rsidRPr="000B0039" w:rsidRDefault="000B0039" w:rsidP="000B0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</w:pPr>
      <w:r w:rsidRPr="000B0039"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  <w:t>Le consultant n’a pu respecter l’échéance fixée. Ainsi, nous avons dû négocier un nouveau contrat.</w:t>
      </w:r>
    </w:p>
    <w:p w:rsidR="000B0039" w:rsidRPr="000B0039" w:rsidRDefault="000B0039" w:rsidP="000B003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</w:pPr>
      <w:r w:rsidRPr="000B0039"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  <w:t xml:space="preserve">Ainsi tu pars </w:t>
      </w:r>
      <w:proofErr w:type="gramStart"/>
      <w:r w:rsidRPr="000B0039"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  <w:t>déjà?</w:t>
      </w:r>
      <w:proofErr w:type="gramEnd"/>
    </w:p>
    <w:p w:rsidR="000B0039" w:rsidRPr="000B0039" w:rsidRDefault="000B0039" w:rsidP="000B0039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0"/>
          <w:szCs w:val="20"/>
          <w:lang w:eastAsia="fr-FR"/>
        </w:rPr>
      </w:pPr>
      <w:r w:rsidRPr="000B0039">
        <w:rPr>
          <w:rFonts w:ascii="Verdana" w:eastAsia="Times New Roman" w:hAnsi="Verdana" w:cs="Times New Roman"/>
          <w:color w:val="000000"/>
          <w:sz w:val="20"/>
          <w:szCs w:val="20"/>
          <w:lang w:eastAsia="fr-FR"/>
        </w:rPr>
        <w:t>Qu’il y ait ou non inversion du sujet, </w:t>
      </w:r>
      <w:r w:rsidRPr="000B0039">
        <w:rPr>
          <w:rFonts w:ascii="Verdana" w:eastAsia="Times New Roman" w:hAnsi="Verdana" w:cs="Times New Roman"/>
          <w:i/>
          <w:iCs/>
          <w:color w:val="000000"/>
          <w:sz w:val="20"/>
          <w:szCs w:val="20"/>
          <w:lang w:eastAsia="fr-FR"/>
        </w:rPr>
        <w:t>ainsi</w:t>
      </w:r>
      <w:r w:rsidRPr="000B0039">
        <w:rPr>
          <w:rFonts w:ascii="Verdana" w:eastAsia="Times New Roman" w:hAnsi="Verdana" w:cs="Times New Roman"/>
          <w:color w:val="000000"/>
          <w:sz w:val="20"/>
          <w:szCs w:val="20"/>
          <w:lang w:eastAsia="fr-FR"/>
        </w:rPr>
        <w:t> n’est pas suivi de la virgule lorsqu’il est employé avec le sens de « de cette façon » :</w:t>
      </w:r>
    </w:p>
    <w:p w:rsidR="00BF4633" w:rsidRPr="000B0039" w:rsidRDefault="000B0039" w:rsidP="000B003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Verdana" w:eastAsia="Times New Roman" w:hAnsi="Verdana" w:cs="Times New Roman"/>
          <w:color w:val="000000"/>
          <w:sz w:val="16"/>
          <w:szCs w:val="16"/>
          <w:lang w:eastAsia="fr-FR"/>
        </w:rPr>
      </w:pPr>
      <w:r w:rsidRPr="000B0039">
        <w:rPr>
          <w:rFonts w:ascii="Verdana" w:eastAsia="Times New Roman" w:hAnsi="Verdana" w:cs="Times New Roman"/>
          <w:i/>
          <w:iCs/>
          <w:color w:val="000000"/>
          <w:sz w:val="16"/>
          <w:szCs w:val="16"/>
          <w:lang w:eastAsia="fr-FR"/>
        </w:rPr>
        <w:t>Ainsi parlait Zarathoustra</w:t>
      </w:r>
      <w:bookmarkStart w:id="0" w:name="_GoBack"/>
      <w:bookmarkEnd w:id="0"/>
    </w:p>
    <w:sectPr w:rsidR="00BF4633" w:rsidRPr="000B00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2F309A"/>
    <w:multiLevelType w:val="multilevel"/>
    <w:tmpl w:val="A1328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3E7E99"/>
    <w:multiLevelType w:val="multilevel"/>
    <w:tmpl w:val="294A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9B71E0"/>
    <w:multiLevelType w:val="multilevel"/>
    <w:tmpl w:val="ED7C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039"/>
    <w:rsid w:val="000B0039"/>
    <w:rsid w:val="00BF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82B1A"/>
  <w15:chartTrackingRefBased/>
  <w15:docId w15:val="{7D0E26B1-B3BC-4504-B8A4-87309310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0B00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B003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0B00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Accentuation">
    <w:name w:val="Emphasis"/>
    <w:basedOn w:val="Policepardfaut"/>
    <w:uiPriority w:val="20"/>
    <w:qFormat/>
    <w:rsid w:val="000B0039"/>
    <w:rPr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0B00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49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tb.termiumplus.gc.ca/redac-chap?lang=fra&amp;lettr=chapsect6&amp;info0=6.1.15" TargetMode="External"/><Relationship Id="rId5" Type="http://schemas.openxmlformats.org/officeDocument/2006/relationships/hyperlink" Target="http://www.btb.termiumplus.gc.ca/redac-chap?lang=fra&amp;lettr=chapsect6&amp;info0=6.1.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1170</Characters>
  <Application>Microsoft Office Word</Application>
  <DocSecurity>0</DocSecurity>
  <Lines>9</Lines>
  <Paragraphs>2</Paragraphs>
  <ScaleCrop>false</ScaleCrop>
  <Company>Nyrhu Group</Company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STEPHENJLO</dc:creator>
  <cp:keywords/>
  <dc:description/>
  <cp:lastModifiedBy>STEPHENJLO</cp:lastModifiedBy>
  <cp:revision>1</cp:revision>
  <dcterms:created xsi:type="dcterms:W3CDTF">2017-08-04T09:24:00Z</dcterms:created>
  <dcterms:modified xsi:type="dcterms:W3CDTF">2017-08-04T09:25:00Z</dcterms:modified>
</cp:coreProperties>
</file>