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B2E2E"/>
          <w:sz w:val="48"/>
          <w:szCs w:val="48"/>
        </w:rPr>
        <w:t xml:space="preserve">Transformers 101</w:t>
      </w:r>
    </w:p>
    <w:p>
      <w:pPr>
        <w:spacing w:after="60"/>
      </w:pPr>
      <w:r>
        <w:rPr>
          <w:i/>
          <w:iCs/>
          <w:color w:val="555555"/>
          <w:sz w:val="26"/>
          <w:szCs w:val="26"/>
        </w:rPr>
        <w:t xml:space="preserve">Self-study notes — 26 September 2026 (Module 3, Class 1: Fine-Tuning Encoder, Decoder, and Encoder–Decoder Architectures)</w:t>
      </w:r>
    </w:p>
    <w:p>
      <w:pPr>
        <w:spacing w:after="400"/>
      </w:pPr>
      <w:r>
        <w:rPr>
          <w:color w:val="555555"/>
          <w:sz w:val="22"/>
          <w:szCs w:val="22"/>
        </w:rPr>
        <w:t xml:space="preserve">Revisiting classic (pre-PEFT) full fine-tuning on lightweight Transformer architectures — DistilBERT, DistilGPT-2, and FLAN-T5 — using the Hugging Face ecosystem end to end.</w:t>
      </w:r>
    </w:p>
    <w:p>
      <w:pPr>
        <w:pStyle w:val="Heading1"/>
        <w:spacing w:after="160" w:before="320"/>
      </w:pPr>
      <w:r>
        <w:t xml:space="preserve">1. Module 3 Orientation: Classic Fine-Tuning Before PEFT</w:t>
      </w:r>
    </w:p>
    <w:p>
      <w:pPr>
        <w:spacing w:after="200" w:line="300"/>
      </w:pPr>
      <w:r>
        <w:t xml:space="preserve">Module 3 opens by deliberately going backwards in time: before covering naive decoding problems, KV cache, and modern attention variants (the actual focus of this module), it is worth getting comfortable with how a Transformer gets fine-tuned the plain, pre-PEFT way — full-parameter fine-tuning on an existing pretrained checkpoint, with no LoRA, no SFT-style alignment, and no RL involved. This is deliberately 2019-2020-era practice: take a pretrained encoder or decoder, attach a task-specific head, and update every weight against labeled data for a narrow downstream task (sentiment classification, news-topic classification, summarization). None of this is new conceptually — it is a chance to get syntactically fluent with the Hugging Face ecosystem before the harder architectural material starts.</w:t>
      </w:r>
    </w:p>
    <w:p>
      <w:pPr>
        <w:spacing w:after="200" w:line="300"/>
      </w:pPr>
      <w:r>
        <w:t xml:space="preserve">The toolchain used throughout this session is the standard Hugging Face stack: the transformers library supplies AutoTokenizer (loads the correct tokenizer for any model automatically) and AutoModelForSequenceClassification (attaches a classification head on top of a pretrained encoder or decoder body); the datasets library loads data directly from the Hugging Face Hub; evaluate supplies ready-made metric implementations; and accelerate handles device placement under the hood. TrainingArguments bundles every training configuration (batch size, epochs, optimizer choice, precision, and so on) into one object, and the Trainer class is what actually runs the training loop against a model, a dataset, and a set of training arguments — no hand-written training loop is needed for this style of fine-tuning.</w:t>
      </w:r>
    </w:p>
    <w:p>
      <w:pPr>
        <w:spacing w:after="200" w:line="300"/>
      </w:pPr>
      <w:r>
        <w:t xml:space="preserve">Three architecture families get covered at this level: encoder-only (BERT-style, for classification-style tasks), decoder-only (GPT-style, primarily for generation but adaptable to classification), and encoder-decoder (sequence-to-sequence models such as T5 or BART, for tasks like summarization or translation that genuinely need both a read phase and a generate phase). The deliberate choice throughout is to work with the lightest version of each family — DistilBERT rather than full BERT, DistilGPT-2 rather than full GPT-2 — purely to keep training fast enough to run live on a free-tier GPU (a T4), not because lighter models are the end goal for production work.</w:t>
      </w:r>
    </w:p>
    <w:p>
      <w:pPr>
        <w:pStyle w:val="Heading1"/>
        <w:spacing w:after="160" w:before="320"/>
      </w:pPr>
      <w:r>
        <w:t xml:space="preserve">2. Picking an Encoder: BERT, Its Variants, and Cased vs. Uncased</w:t>
      </w:r>
    </w:p>
    <w:p>
      <w:pPr>
        <w:spacing w:after="200" w:line="300"/>
      </w:pPr>
      <w:r>
        <w:t xml:space="preserve">BERT stands for Bidirectional Encoder Representations from Transformers, and the bidirectional part is the architectural detail worth holding onto: an encoder's self-attention looks both backward and forward across a sequence, with no masking restricting which tokens can attend to which. A decoder, by contrast, applies a causal mask so a token can only attend to itself and whatever came before it, never to future tokens — this is the entire reason BERT-family models are the default choice for classification and similar tasks that benefit from full-sentence context, while GPT-family models are built around autoregressive, left-to-right generation instead.</w:t>
      </w:r>
    </w:p>
    <w:p>
      <w:pPr>
        <w:spacing w:after="200" w:line="300"/>
      </w:pPr>
      <w:r>
        <w:t xml:space="preserve">BERT itself has spawned a long family of variants, each trading off parameter count, training recipe, or efficiency differently: DistilBERT (a distilled, lighter version of BERT, and the recommended starting point for any new encoder task), RoBERTa and its distilled sibling DistilRoBERTa, ALBERT (notable for aggressively reducing parameter count through weight sharing), ELECTRA, DeBERTa (now up to a widely used V3), and ModernBERT (a genuinely newer architecture, positioned as the modern successor to the original encoder design). A domain-specific variant like BioBERT is still built on the same underlying BERT architecture, just continued-pretrained on domain text.</w:t>
      </w:r>
    </w:p>
    <w:p>
      <w:pPr>
        <w:pBdr>
          <w:left w:val="single" w:color="8B2E2E" w:sz="24" w:space="8"/>
        </w:pBdr>
        <w:shd w:fill="FBEEE6" w:val="clear"/>
        <w:spacing w:after="60" w:before="160"/>
        <w:ind w:left="100"/>
      </w:pPr>
      <w:r>
        <w:rPr>
          <w:b/>
          <w:bCs/>
          <w:color w:val="8B2E2E"/>
        </w:rPr>
        <w:t xml:space="preserve">⭑ Important — Always start from the lightest viable architecture, and escalate only when it isn't enough</w:t>
      </w:r>
    </w:p>
    <w:p>
      <w:pPr>
        <w:pBdr>
          <w:left w:val="single" w:color="8B2E2E" w:sz="24" w:space="8"/>
        </w:pBdr>
        <w:shd w:fill="FBEEE6" w:val="clear"/>
        <w:spacing w:after="220" w:before="0"/>
        <w:ind w:left="100"/>
      </w:pPr>
      <w:r>
        <w:t xml:space="preserve">Never start a new task with the heaviest or newest model available. The recommended ladder for encoders is DistilBERT first, then ALBERT if parameter efficiency matters, and ModernBERT only once real complexity in the task actually demands it — the same discipline applies to every architecture family covered in this module. Heavier models cost more time and compute to iterate with, and a lighter model is frequently good enough for a well-scoped task; only move up the ladder once testing shows the lighter option is genuinely insufficient.</w:t>
      </w:r>
    </w:p>
    <w:p>
      <w:pPr>
        <w:spacing w:after="200" w:line="300"/>
      </w:pPr>
      <w:r>
        <w:t xml:space="preserve">Every BERT checkpoint ships in two variants: cased and uncased. The uncased version lowercases everything before tokenization, while the cased version preserves original casing. The right choice depends entirely on the task: for something like named entity recognition, capitalization carries real information (a capitalized word is more likely to be a proper noun, such as a place name), so lowercasing it away throws away useful context; for a task like sentiment classification, casing carries essentially no signal, so the uncased variant — simpler and marginally smaller in practice — is the right default. This session's sentiment-classification task used the uncased DistilBERT checkpoint.</w:t>
      </w:r>
    </w:p>
    <w:p>
      <w:pPr>
        <w:spacing w:after="200" w:line="300"/>
      </w:pPr>
      <w:r>
        <w:t xml:space="preserve">For anyone who wants to actually see a model's architecture rather than just reason about it abstractly, Netron (netron.app, a free browser-based tool) can open a model's weights file directly — a .safetensors file, a PyTorch checkpoint, an ONNX export, or even a pickle file — and render every layer (embeddings, attention blocks, layer normalization, the final linear output layer, and so on) as an inspectable graph. It supports well over 30 model formats and is worth keeping as a quick reference whenever a model's internal structure needs a closer look.</w:t>
      </w:r>
    </w:p>
    <w:p>
      <w:pPr>
        <w:pStyle w:val="Heading1"/>
        <w:spacing w:after="160" w:before="320"/>
      </w:pPr>
      <w:r>
        <w:t xml:space="preserve">3. Fine-Tuning DistilBERT for Sentiment Classification</w:t>
      </w:r>
    </w:p>
    <w:p>
      <w:pPr>
        <w:spacing w:after="200" w:line="300"/>
      </w:pPr>
      <w:r>
        <w:t xml:space="preserve">The worked example used the Cardiff NLP multilingual sentiment dataset (filtered down to its English subset), which ships with text and label columns and a built-in train/validation/test split already defined on the Hub (around 1,839 validation rows, with labels 0/1/2 mapping to negative/neutral/positive). Because this dataset predates the newest version of the datasets library and is stored in Parquet format, loading it on a current datasets release requires passing an explicit revision tag — without it, loading an older, Parquet-based dataset on the newer library version raises an error; this revision-tag requirement is specific to datasets that haven't been re-indexed for the latest library version, not a general rule.</w:t>
      </w:r>
    </w:p>
    <w:p>
      <w:pPr>
        <w:spacing w:after="200" w:line="300"/>
      </w:pPr>
      <w:r>
        <w:t xml:space="preserve">A handful of training-configuration choices recur across every fine-tuning run in this session and are worth treating as defaults to start from: a standard learning rate for a word-level model, a conservative number of epochs to start (3 to 5), a max sequence length set to whatever realistically covers the dataset (128 tokens here, since this is deliberately 2019-era, short-sequence practice), and a weight decay around 0.01 rather than something vanishingly small like 0.0001 — too small a weight decay slows down training and makes it more likely to get stuck on a local plateau in the loss curve, while a moderate value gives optimization a genuine push past such plateaus.</w:t>
      </w:r>
    </w:p>
    <w:p>
      <w:pPr>
        <w:spacing w:after="200" w:line="300"/>
      </w:pPr>
      <w:r>
        <w:t xml:space="preserve">Tokenizing the text converts every example into input_ids, an attention_mask, and (for BERT) token_type_ids, with the tokenized dataset then converted into PyTorch tensors (datasets' own in-memory format cannot be moved onto a GPU directly, so this conversion step is mandatory, not optional, before training). BERT's default vocabulary is roughly 30,000 tokens, and its special CLS token (used as the whole-sequence representation for classification) is always token ID 101 — every BERT-tokenized sequence starts with it. Padding is applied on the right for encoder architectures: the real sequence comes first, followed by pad tokens up to the max sequence length, and the attention mask marks every pad position with a 0 so the model knows that position carries no real information to attend to.</w:t>
      </w:r>
    </w:p>
    <w:p>
      <w:pPr>
        <w:spacing w:after="200" w:line="300"/>
      </w:pPr>
      <w:r>
        <w:t xml:space="preserve">Once the model (AutoModelForSequenceClassification, loaded with the label mappings in both directions, id2label and label2id) is moved onto the GPU, training is configured through TrainingArguments: batch size (kept low here, since available VRAM was limited to 16GB, with batch size being one of the single most consequential hyperparameters — more VRAM almost always means being able to raise it), mixed precision (bf16 where the GPU supports it, since Google's brain-float-16 format runs faster than plain fp16 on hardware released in roughly the last four to five years; fall back to fp16 only when bf16 support isn't available), and the optimizer (AdamW, using its fused implementation when running on CUDA, since the fused kernel is specifically optimized for GPU execution and offers no benefit on CPU). The run also saves only the best checkpoint (by F1-weighted score) rather than every epoch's checkpoint, which keeps disk usage sane across repeated experiments.</w:t>
      </w:r>
    </w:p>
    <w:p>
      <w:pPr>
        <w:pBdr>
          <w:left w:val="single" w:color="8B2E2E" w:sz="24" w:space="8"/>
        </w:pBdr>
        <w:shd w:fill="FBEEE6" w:val="clear"/>
        <w:spacing w:after="60" w:before="160"/>
        <w:ind w:left="100"/>
      </w:pPr>
      <w:r>
        <w:rPr>
          <w:b/>
          <w:bCs/>
          <w:color w:val="8B2E2E"/>
        </w:rPr>
        <w:t xml:space="preserve">⭑ Important — Validation is mandatory — never judge a model by training loss or training accuracy</w:t>
      </w:r>
    </w:p>
    <w:p>
      <w:pPr>
        <w:pBdr>
          <w:left w:val="single" w:color="8B2E2E" w:sz="24" w:space="8"/>
        </w:pBdr>
        <w:shd w:fill="FBEEE6" w:val="clear"/>
        <w:spacing w:after="220" w:before="0"/>
        <w:ind w:left="100"/>
      </w:pPr>
      <w:r>
        <w:t xml:space="preserve">Looking only at training loss or training accuracy and drawing a conclusion from it is flagged explicitly as very bad practice. A held-out validation set, scored every epoch with the same metric the final evaluation will use, is what actually tells you whether a model is improving in a way that generalizes — training performance alone cannot answer that question. This is also where a callback-based pattern like early-stopping patience becomes useful: if validation performance was best at, say, epoch 5 and shows no further improvement for several epochs after that, training can simply stop there rather than continuing to the originally planned epoch count.</w:t>
      </w:r>
    </w:p>
    <w:p>
      <w:pPr>
        <w:spacing w:after="200" w:line="300"/>
      </w:pPr>
      <w:r>
        <w:t xml:space="preserve">In this session's live run, training loss dropped steadily across three epochs while validation loss hovered in a similar range (0.87 down to roughly 0.68-0.72), with F1-weighted landing around 0.64-0.68 on the held-out set — a modest but real improvement, not yet showing signs of overfitting given how small the gap between training and validation metrics stayed after only three epochs. (Results vary meaningfully between people running the same notebook, since each person's LLM/hardware combination differs.) The classification report showed noticeably higher precision on the majority class and consistently higher recall than precision across classes overall — a bias toward recall that was called out as broadly desirable in real-world classification work, since missing a genuine positive is usually costlier than a false alarm.</w:t>
      </w:r>
    </w:p>
    <w:p>
      <w:pPr>
        <w:spacing w:after="200" w:line="300"/>
      </w:pPr>
      <w:r>
        <w:t xml:space="preserve">Inference was demonstrated two ways: a small custom PyTorch function (tokenize the input sentence, move every tensor to the GPU, run the model in eval mode under torch.no_grad(), then apply softmax and argmax over the logits to get a label and confidence score), and Transformers' own pipeline() wrapper — a high-level, task-based inference API that wraps model loading, tokenization, and post-processing into a single call. Saving the fine-tuned model locally (model.save_pretrained(...)) produces a .safetensors weights file plus config and tokenizer files, and from there push_to_hub() (requiring a Hugging Face token with write access) uploads the result directly to the Hub for sharing or later reuse.</w:t>
      </w:r>
    </w:p>
    <w:p>
      <w:pPr>
        <w:pStyle w:val="Heading1"/>
        <w:spacing w:after="160" w:before="320"/>
      </w:pPr>
      <w:r>
        <w:t xml:space="preserve">4. Fine-Tuning DistilGPT-2 for Text Classification (A Decoder's Different Rules)</w:t>
      </w:r>
    </w:p>
    <w:p>
      <w:pPr>
        <w:spacing w:after="200" w:line="300"/>
      </w:pPr>
      <w:r>
        <w:t xml:space="preserve">The second worked example repeats roughly 80% of the same workflow — same library imports, same TrainingArguments pattern, same Trainer setup — against a decoder architecture (DistilGPT-2) and a different dataset (AG News, a four-class news-topic dataset: world, sports, business, science/technology, with roughly 120,000 training rows, considerably larger than the sentiment dataset). GPT-2's default vocabulary is roughly 50,000 tokens — noticeably larger than BERT's ~30,000 — and because AG News ships with only a train and a test split on the Hub, a validation split has to be carved out manually from the training data before training can begin, since training without ever checking a validation set is not acceptable practice.</w:t>
      </w:r>
    </w:p>
    <w:p>
      <w:pPr>
        <w:spacing w:after="200" w:line="300"/>
      </w:pPr>
      <w:r>
        <w:t xml:space="preserve">The headline architectural difference between the two notebooks is attention type: BERT's self-attention is bidirectional, while GPT's is causal (masked, strictly left-to-right) — a decoder can never attend to a token that comes after the current position. This single property cascades into almost every other difference in how the decoder notebook has to be configured for a classification task that a decoder was never originally designed for.</w:t>
      </w:r>
    </w:p>
    <w:p>
      <w:pPr>
        <w:pBdr>
          <w:left w:val="single" w:color="8B2E2E" w:sz="24" w:space="8"/>
        </w:pBdr>
        <w:shd w:fill="FBEEE6" w:val="clear"/>
        <w:spacing w:after="60" w:before="160"/>
        <w:ind w:left="100"/>
      </w:pPr>
      <w:r>
        <w:rPr>
          <w:b/>
          <w:bCs/>
          <w:color w:val="8B2E2E"/>
        </w:rPr>
        <w:t xml:space="preserve">⭑ Important — Decoder padding must be configured manually, and it has to go on the left</w:t>
      </w:r>
    </w:p>
    <w:p>
      <w:pPr>
        <w:pBdr>
          <w:left w:val="single" w:color="8B2E2E" w:sz="24" w:space="8"/>
        </w:pBdr>
        <w:shd w:fill="FBEEE6" w:val="clear"/>
        <w:spacing w:after="220" w:before="0"/>
        <w:ind w:left="100"/>
      </w:pPr>
      <w:r>
        <w:t xml:space="preserve">By default, GPT-family tokenizers have no pad token at all (tokenizer.pad_token is None out of the box) — it has to be set manually, typically by pointing it at the existing end-of-sequence token. More importantly, for a classification task built on a decoder, padding must be applied on the left, not the right. A decoder's classification head reads its decision off the sequence's last token position; if padding were applied on the right (the BERT convention), that last position would land on a pad token carrying zero real information, and the model would have nothing meaningful to classify from. Padding on the left instead guarantees the real, final token of the actual sentence always sits in that last position, exactly where the classification head looks.</w:t>
      </w:r>
    </w:p>
    <w:p>
      <w:pPr>
        <w:spacing w:after="200" w:line="300"/>
      </w:pPr>
      <w:r>
        <w:t xml:space="preserve">Because of this, GPT's config also needs its pad_token_id set explicitly for the classification setup to work at all — none of this is automatic the way it is for BERT, where the CLS token and right-padding convention are already built in. Tokenized output confirmed this directly: looking at the first positions of a padded sequence showed pad tokens (repeated instances of the GPT-2 vocabulary's designated pad ID), with the real content only beginning partway through the fixed-length window — exactly the inverse layout of what BERT's right-padded sequences look like.</w:t>
      </w:r>
    </w:p>
    <w:p>
      <w:pPr>
        <w:spacing w:after="200" w:line="300"/>
      </w:pPr>
      <w:r>
        <w:t xml:space="preserve">Despite being technically possible, GPT-style decoders are not the preferred choice for classification-style tasks in general, precisely because classification benefits from full bidirectional context and a decoder structurally can't provide that — it is only usable here by leaning on the one last-token workaround described above. Decoders earn their keep on generation-style tasks instead: text completion, open-ended text generation, and (with both an encoder and a decoder present) sequence-to-sequence tasks like translation or summarization.</w:t>
      </w:r>
    </w:p>
    <w:p>
      <w:pPr>
        <w:spacing w:after="200" w:line="300"/>
      </w:pPr>
      <w:r>
        <w:t xml:space="preserve">With padding and the pad_token_id correctly configured, the live run's results (training loss down from roughly 0.49, evaluation accuracy and F1-weighted in the high 80s, around 89%) were comparable to — and slightly ahead of — the encoder run, largely reflecting AG News's larger training set and GPT-2's higher parameter count (DistilGPT-2's safetensors file ran about 353MB, versus DistilBERT's roughly 268MB) rather than any inherent decoder advantage for this kind of task. The classification report and per-class confusion-matrix breakdown showed sports performing best and business/science-tech trailing slightly — a pattern worth double-checking against more training samples or more epochs before concluding anything structural about the architecture.</w:t>
      </w:r>
    </w:p>
    <w:p>
      <w:pPr>
        <w:pStyle w:val="Heading1"/>
        <w:spacing w:after="160" w:before="320"/>
      </w:pPr>
      <w:r>
        <w:t xml:space="preserve">5. Encoder–Decoder Fine-Tuning: A Brief Tour (FLAN-T5, BART, and Friends)</w:t>
      </w:r>
    </w:p>
    <w:p>
      <w:pPr>
        <w:spacing w:after="200" w:line="300"/>
      </w:pPr>
      <w:r>
        <w:t xml:space="preserve">The one architecture family left uncovered live in this session is the sequence-to-sequence, encoder-decoder family — covered only briefly, as a notebook to work through independently. FLAN-T5 (an instruction-tuned, generally stronger variant of the original T5, available in small/base/large sizes) was used for a summarization task, alongside a short tour of comparable sequence-to-sequence options: the original T5, Pegasus and PegasusX (purpose-built for summarization specifically), mT5/mBART (multilingual variants), and BART (from Meta, and the architecture the earliest LLaMA models were themselves built on top of).</w:t>
      </w:r>
    </w:p>
    <w:p>
      <w:pPr>
        <w:spacing w:after="200" w:line="300"/>
      </w:pPr>
      <w:r>
        <w:t xml:space="preserve">Encoder-decoder models are substantially more expensive to fine-tune than either encoder-only or decoder-only architectures at a comparable size tier — the large FLAN-T5 variant used in this session carries roughly ten times the parameter count of DistilBERT, and the instructor's own run against it took on the order of 30 to 40 minutes, versus a few minutes for the encoder and decoder notebooks. The evaluation metric also changes accordingly: since summarization is a generative, word-sequence task rather than a fixed-class prediction, ROUGE (ROUGE-1, ROUGE-2, and so on — the same family of metrics introduced earlier in the course when building a Transformer from scratch) is the standard choice here, in place of accuracy or F1.</w:t>
      </w:r>
    </w:p>
    <w:p>
      <w:pPr>
        <w:pStyle w:val="Heading1"/>
        <w:spacing w:after="160" w:before="320"/>
      </w:pPr>
      <w:r>
        <w:t xml:space="preserve">6. Practical Decision-Making: Choosing Architectures, Models, and Serving Infrastructure</w:t>
      </w:r>
    </w:p>
    <w:p>
      <w:pPr>
        <w:spacing w:after="200" w:line="300"/>
      </w:pPr>
      <w:r>
        <w:t xml:space="preserve">Several recurring real-world questions came up during the open Q&amp;A, all variations on the same underlying theme: how do you actually decide which model or architecture to use, outside of a training notebook? The first and most important criterion, repeated consistently, is where compute is actually available and what it costs — not which architecture sounds most capable on paper.</w:t>
      </w:r>
    </w:p>
    <w:p>
      <w:pPr>
        <w:pBdr>
          <w:left w:val="single" w:color="8B2E2E" w:sz="24" w:space="8"/>
        </w:pBdr>
        <w:shd w:fill="FBEEE6" w:val="clear"/>
        <w:spacing w:after="60" w:before="160"/>
        <w:ind w:left="100"/>
      </w:pPr>
      <w:r>
        <w:rPr>
          <w:b/>
          <w:bCs/>
          <w:color w:val="8B2E2E"/>
        </w:rPr>
        <w:t xml:space="preserve">⭑ Important — Compute availability decides the model, not personal preference</w:t>
      </w:r>
    </w:p>
    <w:p>
      <w:pPr>
        <w:pBdr>
          <w:left w:val="single" w:color="8B2E2E" w:sz="24" w:space="8"/>
        </w:pBdr>
        <w:shd w:fill="FBEEE6" w:val="clear"/>
        <w:spacing w:after="220" w:before="0"/>
        <w:ind w:left="100"/>
      </w:pPr>
      <w:r>
        <w:t xml:space="preserve">The deciding question for any model-selection decision is compute availability: how much VRAM is actually on hand, and what does running (or hosting) the candidate model cost in practice. A smaller, lighter model (DistilBERT, ALBERT) is the right call when compute is constrained; a heavier one (ModernBERT, a larger decoder) only becomes justified once the task's complexity genuinely demands it and the compute budget supports it. The same logic extends to deployment: before picking any model for a small-language-model deployment, the first question is where it will actually run (a mobile device versus a GPU-backed server completely changes what's viable), followed by a realistic multi-year cost projection — not a single-notebook benchmark — before committing to an architecture.</w:t>
      </w:r>
    </w:p>
    <w:p>
      <w:pPr>
        <w:spacing w:after="200" w:line="300"/>
      </w:pPr>
      <w:r>
        <w:t xml:space="preserve">For picking a specific open model family in an organizational setting, a practical pecking order emerged: start with whichever family is already accepted by the organization's legal/compliance process, since that constraint usually overrides any technical preference. Absent any such restriction, LLaMA was described as the safest universal default — essentially nobody rejects it — with Qwen widely used and generally accepted (though occasionally excluded for reasons unrelated to capability) and Mistral as another broadly uncontroversial open option. Within any family, the practical workflow is: start with the smallest/lightest variant, use a model's download count on the Hub as a rough proxy for how much real-world validation it has already received, shortlist two to four candidates, and only then run an actual A/B test against a held-out subset of your own data before committing.</w:t>
      </w:r>
    </w:p>
    <w:p>
      <w:pPr>
        <w:spacing w:after="200" w:line="300"/>
      </w:pPr>
      <w:r>
        <w:t xml:space="preserve">On evaluation cost specifically: running LLM-as-judge or LLM-as-jury evaluation at genuinely zero token cost isn't realistic — any such approach that claims to be free is still making calls to some LLM, somewhere. A real way to cut cost is to replace an LLM call with a fully custom, deterministic scoring function (several explicit numeric or rule-based conditions chained together, all needing to pass) wherever the task allows it; where an LLM judge genuinely is needed, the practical guidance is to use a better model than the one being evaluated — not necessarily a frontier, top-tier model, just a meaningfully stronger one than the system under test.</w:t>
      </w:r>
    </w:p>
    <w:p>
      <w:pPr>
        <w:spacing w:after="200" w:line="300"/>
      </w:pPr>
      <w:r>
        <w:t xml:space="preserve">One related vocabulary term worth holding onto: continuous pre-training (CPT) is the standard way to keep adapting an already-trained model to new data over time without discarding what it has already learned — the alternative to assuming that bringing in new data always means starting over or irreversibly overwriting prior training.</w:t>
      </w:r>
    </w:p>
    <w:p>
      <w:pPr>
        <w:pStyle w:val="Heading1"/>
        <w:spacing w:after="160" w:before="320"/>
      </w:pPr>
      <w:r>
        <w:t xml:space="preserve">Closing Notes / What's Next</w:t>
      </w:r>
    </w:p>
    <w:p>
      <w:pPr>
        <w:spacing w:after="200" w:line="300"/>
      </w:pPr>
      <w:r>
        <w:t xml:space="preserve">This session intentionally revisited pre-PEFT, full-parameter fine-tuning across all three Transformer architecture families — encoder (DistilBERT, sentiment classification), decoder (DistilGPT-2, news-topic classification), and encoder-decoder (FLAN-T5, summarization, covered as a self-study notebook) — mainly to build syntactic fluency with the Hugging Face ecosystem (AutoTokenizer, AutoModelForSequenceClassification, TrainingArguments, Trainer, pipeline()) before the module's real subject matter begins.</w:t>
      </w:r>
    </w:p>
    <w:p>
      <w:pPr>
        <w:spacing w:after="200" w:line="300"/>
      </w:pPr>
      <w:r>
        <w:t xml:space="preserve">The immediate next topics, picking up directly from here, are the naive decoding problem, KV cache, and how attention itself has evolved over time (multi-head attention through to the variants behind recent efficiency gains in models like DeepSeek), along with upgrading positional encoding to RoPE. Before that class, finish working through the third (encoder-decoder/FLAN-T5) notebook if it wasn't completed live, and push your own fine-tuned DistilBERT and DistilGPT-2 checkpoints to the Hugging Face Hub if you haven't already, since sharing that link was this session's one piece of homework.</w:t>
      </w:r>
    </w:p>
    <w:p>
      <w:pPr>
        <w:pStyle w:val="Heading1"/>
        <w:spacing w:after="160" w:before="320"/>
      </w:pPr>
      <w:r>
        <w:t xml:space="preserve">Quick-Reference Glossary</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2600"/>
        <w:gridCol w:w="6400"/>
      </w:tblGrid>
      <w:tr>
        <w:trPr>
          <w:tblHeader/>
        </w:trPr>
        <w:tc>
          <w:tcPr>
            <w:tcW w:type="dxa" w:w="2600"/>
            <w:shd w:fill="EDE3DA" w:val="clear"/>
            <w:tcMar>
              <w:top w:type="dxa" w:w="80"/>
              <w:left w:type="dxa" w:w="100"/>
              <w:bottom w:type="dxa" w:w="80"/>
              <w:right w:type="dxa" w:w="100"/>
            </w:tcMar>
          </w:tcPr>
          <w:p>
            <w:r>
              <w:rPr>
                <w:b/>
                <w:bCs/>
              </w:rPr>
              <w:t xml:space="preserve">Term</w:t>
            </w:r>
          </w:p>
        </w:tc>
        <w:tc>
          <w:tcPr>
            <w:tcW w:type="dxa" w:w="6400"/>
            <w:shd w:fill="EDE3DA" w:val="clear"/>
            <w:tcMar>
              <w:top w:type="dxa" w:w="80"/>
              <w:left w:type="dxa" w:w="100"/>
              <w:bottom w:type="dxa" w:w="80"/>
              <w:right w:type="dxa" w:w="100"/>
            </w:tcMar>
          </w:tcPr>
          <w:p>
            <w:r>
              <w:rPr>
                <w:b/>
                <w:bCs/>
              </w:rPr>
              <w:t xml:space="preserve">Meaning</w:t>
            </w:r>
          </w:p>
        </w:tc>
      </w:tr>
      <w:tr>
        <w:tc>
          <w:tcPr>
            <w:tcW w:type="dxa" w:w="2600"/>
            <w:tcMar>
              <w:top w:type="dxa" w:w="60"/>
              <w:left w:type="dxa" w:w="100"/>
              <w:bottom w:type="dxa" w:w="60"/>
              <w:right w:type="dxa" w:w="100"/>
            </w:tcMar>
          </w:tcPr>
          <w:p>
            <w:r>
              <w:t xml:space="preserve">Full fine-tuning</w:t>
            </w:r>
          </w:p>
        </w:tc>
        <w:tc>
          <w:tcPr>
            <w:tcW w:type="dxa" w:w="6400"/>
            <w:tcMar>
              <w:top w:type="dxa" w:w="60"/>
              <w:left w:type="dxa" w:w="100"/>
              <w:bottom w:type="dxa" w:w="60"/>
              <w:right w:type="dxa" w:w="100"/>
            </w:tcMar>
          </w:tcPr>
          <w:p>
            <w:r>
              <w:t xml:space="preserve">Updating every weight of a pretrained model against labeled data for a downstream task, as opposed to parameter-efficient (PEFT) approaches like LoRA covered later in the course.</w:t>
            </w:r>
          </w:p>
        </w:tc>
      </w:tr>
      <w:tr>
        <w:tc>
          <w:tcPr>
            <w:tcW w:type="dxa" w:w="2600"/>
            <w:tcMar>
              <w:top w:type="dxa" w:w="60"/>
              <w:left w:type="dxa" w:w="100"/>
              <w:bottom w:type="dxa" w:w="60"/>
              <w:right w:type="dxa" w:w="100"/>
            </w:tcMar>
          </w:tcPr>
          <w:p>
            <w:r>
              <w:t xml:space="preserve">AutoModelForSequenceClassification</w:t>
            </w:r>
          </w:p>
        </w:tc>
        <w:tc>
          <w:tcPr>
            <w:tcW w:type="dxa" w:w="6400"/>
            <w:tcMar>
              <w:top w:type="dxa" w:w="60"/>
              <w:left w:type="dxa" w:w="100"/>
              <w:bottom w:type="dxa" w:w="60"/>
              <w:right w:type="dxa" w:w="100"/>
            </w:tcMar>
          </w:tcPr>
          <w:p>
            <w:r>
              <w:t xml:space="preserve">The Transformers class that loads a pretrained encoder or decoder body and attaches a task-specific classification head on top of it.</w:t>
            </w:r>
          </w:p>
        </w:tc>
      </w:tr>
      <w:tr>
        <w:tc>
          <w:tcPr>
            <w:tcW w:type="dxa" w:w="2600"/>
            <w:tcMar>
              <w:top w:type="dxa" w:w="60"/>
              <w:left w:type="dxa" w:w="100"/>
              <w:bottom w:type="dxa" w:w="60"/>
              <w:right w:type="dxa" w:w="100"/>
            </w:tcMar>
          </w:tcPr>
          <w:p>
            <w:r>
              <w:t xml:space="preserve">TrainingArguments / Trainer</w:t>
            </w:r>
          </w:p>
        </w:tc>
        <w:tc>
          <w:tcPr>
            <w:tcW w:type="dxa" w:w="6400"/>
            <w:tcMar>
              <w:top w:type="dxa" w:w="60"/>
              <w:left w:type="dxa" w:w="100"/>
              <w:bottom w:type="dxa" w:w="60"/>
              <w:right w:type="dxa" w:w="100"/>
            </w:tcMar>
          </w:tcPr>
          <w:p>
            <w:r>
              <w:t xml:space="preserve">TrainingArguments bundles every training configuration (batch size, epochs, optimizer, precision, etc.) into one object; Trainer is the class that actually runs the training loop against a model, dataset, and those arguments.</w:t>
            </w:r>
          </w:p>
        </w:tc>
      </w:tr>
      <w:tr>
        <w:tc>
          <w:tcPr>
            <w:tcW w:type="dxa" w:w="2600"/>
            <w:tcMar>
              <w:top w:type="dxa" w:w="60"/>
              <w:left w:type="dxa" w:w="100"/>
              <w:bottom w:type="dxa" w:w="60"/>
              <w:right w:type="dxa" w:w="100"/>
            </w:tcMar>
          </w:tcPr>
          <w:p>
            <w:r>
              <w:t xml:space="preserve">Cased / Uncased</w:t>
            </w:r>
          </w:p>
        </w:tc>
        <w:tc>
          <w:tcPr>
            <w:tcW w:type="dxa" w:w="6400"/>
            <w:tcMar>
              <w:top w:type="dxa" w:w="60"/>
              <w:left w:type="dxa" w:w="100"/>
              <w:bottom w:type="dxa" w:w="60"/>
              <w:right w:type="dxa" w:w="100"/>
            </w:tcMar>
          </w:tcPr>
          <w:p>
            <w:r>
              <w:t xml:space="preserve">Two variants of most BERT checkpoints: cased preserves original capitalization, uncased lowercases everything before tokenization. The right choice depends on whether casing carries task-relevant information (e.g. NER) or not (e.g. sentiment).</w:t>
            </w:r>
          </w:p>
        </w:tc>
      </w:tr>
      <w:tr>
        <w:tc>
          <w:tcPr>
            <w:tcW w:type="dxa" w:w="2600"/>
            <w:tcMar>
              <w:top w:type="dxa" w:w="60"/>
              <w:left w:type="dxa" w:w="100"/>
              <w:bottom w:type="dxa" w:w="60"/>
              <w:right w:type="dxa" w:w="100"/>
            </w:tcMar>
          </w:tcPr>
          <w:p>
            <w:r>
              <w:t xml:space="preserve">Bidirectional attention (encoder) vs. causal attention (decoder)</w:t>
            </w:r>
          </w:p>
        </w:tc>
        <w:tc>
          <w:tcPr>
            <w:tcW w:type="dxa" w:w="6400"/>
            <w:tcMar>
              <w:top w:type="dxa" w:w="60"/>
              <w:left w:type="dxa" w:w="100"/>
              <w:bottom w:type="dxa" w:w="60"/>
              <w:right w:type="dxa" w:w="100"/>
            </w:tcMar>
          </w:tcPr>
          <w:p>
            <w:r>
              <w:t xml:space="preserve">An encoder's self-attention can look both backward and forward across a sequence; a decoder applies a causal mask so a token can only attend to itself and earlier tokens, never future ones.</w:t>
            </w:r>
          </w:p>
        </w:tc>
      </w:tr>
      <w:tr>
        <w:tc>
          <w:tcPr>
            <w:tcW w:type="dxa" w:w="2600"/>
            <w:tcMar>
              <w:top w:type="dxa" w:w="60"/>
              <w:left w:type="dxa" w:w="100"/>
              <w:bottom w:type="dxa" w:w="60"/>
              <w:right w:type="dxa" w:w="100"/>
            </w:tcMar>
          </w:tcPr>
          <w:p>
            <w:r>
              <w:t xml:space="preserve">CLS token</w:t>
            </w:r>
          </w:p>
        </w:tc>
        <w:tc>
          <w:tcPr>
            <w:tcW w:type="dxa" w:w="6400"/>
            <w:tcMar>
              <w:top w:type="dxa" w:w="60"/>
              <w:left w:type="dxa" w:w="100"/>
              <w:bottom w:type="dxa" w:w="60"/>
              <w:right w:type="dxa" w:w="100"/>
            </w:tcMar>
          </w:tcPr>
          <w:p>
            <w:r>
              <w:t xml:space="preserve">BERT's special classification token (always token ID 101 in the default vocabulary), whose final hidden state is used as the whole-sequence representation for classification tasks.</w:t>
            </w:r>
          </w:p>
        </w:tc>
      </w:tr>
      <w:tr>
        <w:tc>
          <w:tcPr>
            <w:tcW w:type="dxa" w:w="2600"/>
            <w:tcMar>
              <w:top w:type="dxa" w:w="60"/>
              <w:left w:type="dxa" w:w="100"/>
              <w:bottom w:type="dxa" w:w="60"/>
              <w:right w:type="dxa" w:w="100"/>
            </w:tcMar>
          </w:tcPr>
          <w:p>
            <w:r>
              <w:t xml:space="preserve">Right padding / Left padding</w:t>
            </w:r>
          </w:p>
        </w:tc>
        <w:tc>
          <w:tcPr>
            <w:tcW w:type="dxa" w:w="6400"/>
            <w:tcMar>
              <w:top w:type="dxa" w:w="60"/>
              <w:left w:type="dxa" w:w="100"/>
              <w:bottom w:type="dxa" w:w="60"/>
              <w:right w:type="dxa" w:w="100"/>
            </w:tcMar>
          </w:tcPr>
          <w:p>
            <w:r>
              <w:t xml:space="preserve">Right padding (BERT's convention) places pad tokens after the real sequence; left padding (required for GPT-style classification) places them before it, so the real final token always lands in the last sequence position.</w:t>
            </w:r>
          </w:p>
        </w:tc>
      </w:tr>
      <w:tr>
        <w:tc>
          <w:tcPr>
            <w:tcW w:type="dxa" w:w="2600"/>
            <w:tcMar>
              <w:top w:type="dxa" w:w="60"/>
              <w:left w:type="dxa" w:w="100"/>
              <w:bottom w:type="dxa" w:w="60"/>
              <w:right w:type="dxa" w:w="100"/>
            </w:tcMar>
          </w:tcPr>
          <w:p>
            <w:r>
              <w:t xml:space="preserve">Mixed precision (BF16 vs. FP16)</w:t>
            </w:r>
          </w:p>
        </w:tc>
        <w:tc>
          <w:tcPr>
            <w:tcW w:type="dxa" w:w="6400"/>
            <w:tcMar>
              <w:top w:type="dxa" w:w="60"/>
              <w:left w:type="dxa" w:w="100"/>
              <w:bottom w:type="dxa" w:w="60"/>
              <w:right w:type="dxa" w:w="100"/>
            </w:tcMar>
          </w:tcPr>
          <w:p>
            <w:r>
              <w:t xml:space="preserve">Two reduced-precision training formats; bf16 (Google's brain-float-16) runs faster on GPUs released in roughly the last 4-5 years, with fp16 as the fallback where bf16 isn't supported.</w:t>
            </w:r>
          </w:p>
        </w:tc>
      </w:tr>
      <w:tr>
        <w:tc>
          <w:tcPr>
            <w:tcW w:type="dxa" w:w="2600"/>
            <w:tcMar>
              <w:top w:type="dxa" w:w="60"/>
              <w:left w:type="dxa" w:w="100"/>
              <w:bottom w:type="dxa" w:w="60"/>
              <w:right w:type="dxa" w:w="100"/>
            </w:tcMar>
          </w:tcPr>
          <w:p>
            <w:r>
              <w:t xml:space="preserve">AdamW (fused)</w:t>
            </w:r>
          </w:p>
        </w:tc>
        <w:tc>
          <w:tcPr>
            <w:tcW w:type="dxa" w:w="6400"/>
            <w:tcMar>
              <w:top w:type="dxa" w:w="60"/>
              <w:left w:type="dxa" w:w="100"/>
              <w:bottom w:type="dxa" w:w="60"/>
              <w:right w:type="dxa" w:w="100"/>
            </w:tcMar>
          </w:tcPr>
          <w:p>
            <w:r>
              <w:t xml:space="preserve">The optimizer used throughout this session; its fused implementation is specifically optimized for GPU execution and should be used only on CUDA, not CPU.</w:t>
            </w:r>
          </w:p>
        </w:tc>
      </w:tr>
      <w:tr>
        <w:tc>
          <w:tcPr>
            <w:tcW w:type="dxa" w:w="2600"/>
            <w:tcMar>
              <w:top w:type="dxa" w:w="60"/>
              <w:left w:type="dxa" w:w="100"/>
              <w:bottom w:type="dxa" w:w="60"/>
              <w:right w:type="dxa" w:w="100"/>
            </w:tcMar>
          </w:tcPr>
          <w:p>
            <w:r>
              <w:t xml:space="preserve">Gradient accumulation</w:t>
            </w:r>
          </w:p>
        </w:tc>
        <w:tc>
          <w:tcPr>
            <w:tcW w:type="dxa" w:w="6400"/>
            <w:tcMar>
              <w:top w:type="dxa" w:w="60"/>
              <w:left w:type="dxa" w:w="100"/>
              <w:bottom w:type="dxa" w:w="60"/>
              <w:right w:type="dxa" w:w="100"/>
            </w:tcMar>
          </w:tcPr>
          <w:p>
            <w:r>
              <w:t xml:space="preserve">A memory-saving technique that simulates a larger batch size by accumulating gradients across several smaller batches before updating weights; less necessary when VRAM is already generous.</w:t>
            </w:r>
          </w:p>
        </w:tc>
      </w:tr>
      <w:tr>
        <w:tc>
          <w:tcPr>
            <w:tcW w:type="dxa" w:w="2600"/>
            <w:tcMar>
              <w:top w:type="dxa" w:w="60"/>
              <w:left w:type="dxa" w:w="100"/>
              <w:bottom w:type="dxa" w:w="60"/>
              <w:right w:type="dxa" w:w="100"/>
            </w:tcMar>
          </w:tcPr>
          <w:p>
            <w:r>
              <w:t xml:space="preserve">F1 weighted / F1 macro</w:t>
            </w:r>
          </w:p>
        </w:tc>
        <w:tc>
          <w:tcPr>
            <w:tcW w:type="dxa" w:w="6400"/>
            <w:tcMar>
              <w:top w:type="dxa" w:w="60"/>
              <w:left w:type="dxa" w:w="100"/>
              <w:bottom w:type="dxa" w:w="60"/>
              <w:right w:type="dxa" w:w="100"/>
            </w:tcMar>
          </w:tcPr>
          <w:p>
            <w:r>
              <w:t xml:space="preserve">Two ways of averaging per-class F1 scores across a multi-class problem: weighted accounts for class imbalance, macro treats every class equally regardless of size.</w:t>
            </w:r>
          </w:p>
        </w:tc>
      </w:tr>
      <w:tr>
        <w:tc>
          <w:tcPr>
            <w:tcW w:type="dxa" w:w="2600"/>
            <w:tcMar>
              <w:top w:type="dxa" w:w="60"/>
              <w:left w:type="dxa" w:w="100"/>
              <w:bottom w:type="dxa" w:w="60"/>
              <w:right w:type="dxa" w:w="100"/>
            </w:tcMar>
          </w:tcPr>
          <w:p>
            <w:r>
              <w:t xml:space="preserve">ROUGE</w:t>
            </w:r>
          </w:p>
        </w:tc>
        <w:tc>
          <w:tcPr>
            <w:tcW w:type="dxa" w:w="6400"/>
            <w:tcMar>
              <w:top w:type="dxa" w:w="60"/>
              <w:left w:type="dxa" w:w="100"/>
              <w:bottom w:type="dxa" w:w="60"/>
              <w:right w:type="dxa" w:w="100"/>
            </w:tcMar>
          </w:tcPr>
          <w:p>
            <w:r>
              <w:t xml:space="preserve">The standard metric family (ROUGE-1, ROUGE-2, etc.) for scoring generated text against a reference summary, used in place of accuracy/F1 for generative tasks like summarization.</w:t>
            </w:r>
          </w:p>
        </w:tc>
      </w:tr>
      <w:tr>
        <w:tc>
          <w:tcPr>
            <w:tcW w:type="dxa" w:w="2600"/>
            <w:tcMar>
              <w:top w:type="dxa" w:w="60"/>
              <w:left w:type="dxa" w:w="100"/>
              <w:bottom w:type="dxa" w:w="60"/>
              <w:right w:type="dxa" w:w="100"/>
            </w:tcMar>
          </w:tcPr>
          <w:p>
            <w:r>
              <w:t xml:space="preserve">Netron</w:t>
            </w:r>
          </w:p>
        </w:tc>
        <w:tc>
          <w:tcPr>
            <w:tcW w:type="dxa" w:w="6400"/>
            <w:tcMar>
              <w:top w:type="dxa" w:w="60"/>
              <w:left w:type="dxa" w:w="100"/>
              <w:bottom w:type="dxa" w:w="60"/>
              <w:right w:type="dxa" w:w="100"/>
            </w:tcMar>
          </w:tcPr>
          <w:p>
            <w:r>
              <w:t xml:space="preserve">A free browser-based tool (netron.app) for visually inspecting a model's architecture directly from its weights file, across 30+ supported formats (.safetensors, ONNX, pickle, and more).</w:t>
            </w:r>
          </w:p>
        </w:tc>
      </w:tr>
      <w:tr>
        <w:tc>
          <w:tcPr>
            <w:tcW w:type="dxa" w:w="2600"/>
            <w:tcMar>
              <w:top w:type="dxa" w:w="60"/>
              <w:left w:type="dxa" w:w="100"/>
              <w:bottom w:type="dxa" w:w="60"/>
              <w:right w:type="dxa" w:w="100"/>
            </w:tcMar>
          </w:tcPr>
          <w:p>
            <w:r>
              <w:t xml:space="preserve">pipeline()</w:t>
            </w:r>
          </w:p>
        </w:tc>
        <w:tc>
          <w:tcPr>
            <w:tcW w:type="dxa" w:w="6400"/>
            <w:tcMar>
              <w:top w:type="dxa" w:w="60"/>
              <w:left w:type="dxa" w:w="100"/>
              <w:bottom w:type="dxa" w:w="60"/>
              <w:right w:type="dxa" w:w="100"/>
            </w:tcMar>
          </w:tcPr>
          <w:p>
            <w:r>
              <w:t xml:space="preserve">Transformers' high-level, task-based inference wrapper that combines model loading, tokenization, and post-processing into a single call.</w:t>
            </w:r>
          </w:p>
        </w:tc>
      </w:tr>
      <w:tr>
        <w:tc>
          <w:tcPr>
            <w:tcW w:type="dxa" w:w="2600"/>
            <w:tcMar>
              <w:top w:type="dxa" w:w="60"/>
              <w:left w:type="dxa" w:w="100"/>
              <w:bottom w:type="dxa" w:w="60"/>
              <w:right w:type="dxa" w:w="100"/>
            </w:tcMar>
          </w:tcPr>
          <w:p>
            <w:r>
              <w:t xml:space="preserve">Continuous pre-training (CPT)</w:t>
            </w:r>
          </w:p>
        </w:tc>
        <w:tc>
          <w:tcPr>
            <w:tcW w:type="dxa" w:w="6400"/>
            <w:tcMar>
              <w:top w:type="dxa" w:w="60"/>
              <w:left w:type="dxa" w:w="100"/>
              <w:bottom w:type="dxa" w:w="60"/>
              <w:right w:type="dxa" w:w="100"/>
            </w:tcMar>
          </w:tcPr>
          <w:p>
            <w:r>
              <w:t xml:space="preserve">Continuing to train an already-trained model on new data over time, rather than assuming new data requires starting from scratch or overwrites everything learned previously.</w:t>
            </w:r>
          </w:p>
        </w:tc>
      </w:tr>
      <w:tr>
        <w:tc>
          <w:tcPr>
            <w:tcW w:type="dxa" w:w="2600"/>
            <w:tcMar>
              <w:top w:type="dxa" w:w="60"/>
              <w:left w:type="dxa" w:w="100"/>
              <w:bottom w:type="dxa" w:w="60"/>
              <w:right w:type="dxa" w:w="100"/>
            </w:tcMar>
          </w:tcPr>
          <w:p>
            <w:r>
              <w:t xml:space="preserve">revision tag</w:t>
            </w:r>
          </w:p>
        </w:tc>
        <w:tc>
          <w:tcPr>
            <w:tcW w:type="dxa" w:w="6400"/>
            <w:tcMar>
              <w:top w:type="dxa" w:w="60"/>
              <w:left w:type="dxa" w:w="100"/>
              <w:bottom w:type="dxa" w:w="60"/>
              <w:right w:type="dxa" w:w="100"/>
            </w:tcMar>
          </w:tcPr>
          <w:p>
            <w:r>
              <w:t xml:space="preserve">A dataset-loading parameter needed when loading an older, Parquet-based dataset on a newer version of the datasets library that no longer defaults to the format it was originally published in.</w:t>
            </w:r>
          </w:p>
        </w:tc>
      </w:tr>
      <w:tr>
        <w:tc>
          <w:tcPr>
            <w:tcW w:type="dxa" w:w="2600"/>
            <w:tcMar>
              <w:top w:type="dxa" w:w="60"/>
              <w:left w:type="dxa" w:w="100"/>
              <w:bottom w:type="dxa" w:w="60"/>
              <w:right w:type="dxa" w:w="100"/>
            </w:tcMar>
          </w:tcPr>
          <w:p>
            <w:r>
              <w:t xml:space="preserve">push_to_hub()</w:t>
            </w:r>
          </w:p>
        </w:tc>
        <w:tc>
          <w:tcPr>
            <w:tcW w:type="dxa" w:w="6400"/>
            <w:tcMar>
              <w:top w:type="dxa" w:w="60"/>
              <w:left w:type="dxa" w:w="100"/>
              <w:bottom w:type="dxa" w:w="60"/>
              <w:right w:type="dxa" w:w="100"/>
            </w:tcMar>
          </w:tcPr>
          <w:p>
            <w:r>
              <w:t xml:space="preserve">The Transformers/Hub method that uploads a locally saved, fine-tuned model (and its tokenizer and config) directly to the Hugging Face Hub, given a token with write access.</w:t>
            </w:r>
          </w:p>
        </w:tc>
      </w:tr>
    </w:tbl>
    <w:p>
      <w:pPr>
        <w:pStyle w:val="Heading1"/>
        <w:spacing w:after="160" w:before="320"/>
      </w:pPr>
      <w:r>
        <w:t xml:space="preserve">Common Points of Confusion: Class Q&amp;A</w:t>
      </w:r>
    </w:p>
    <w:p>
      <w:pPr>
        <w:spacing w:after="200" w:line="300"/>
      </w:pPr>
      <w:r>
        <w:t xml:space="preserve">These are real questions from class discussion that surfaced genuine points of confusion — the kind worth knowing cold, since if a classmate got tripped up here, an interviewer might expect the same thing untangled on the spot.</w:t>
      </w:r>
    </w:p>
    <w:p>
      <w:pPr>
        <w:spacing w:after="80" w:before="200"/>
      </w:pPr>
      <w:r>
        <w:rPr>
          <w:b/>
          <w:bCs/>
          <w:color w:val="8B2E2E"/>
        </w:rPr>
        <w:t xml:space="preserve">Q: Is there a way to force a fine-tuned model to be more accurate, beyond picking a different architecture?</w:t>
      </w:r>
    </w:p>
    <w:p>
      <w:pPr>
        <w:spacing w:after="120" w:line="300"/>
      </w:pPr>
      <w:r>
        <w:t xml:space="preserve">A: The data itself is fixed once the task and dataset are defined, so the only real lever left is the hyperparameters — batch size, learning rate, epochs, weight decay, and so on. There's no shortcut beyond systematically testing a handful of hyperparameter combinations and keeping whichever performs best, exactly the same empirical process used in classical machine learning.</w:t>
      </w:r>
    </w:p>
    <w:p>
      <w:pPr>
        <w:spacing w:after="80" w:before="200"/>
      </w:pPr>
      <w:r>
        <w:rPr>
          <w:b/>
          <w:bCs/>
          <w:color w:val="8B2E2E"/>
        </w:rPr>
        <w:t xml:space="preserve">Q: When fine-tuning every weight of a pretrained model (full fine-tuning), isn't the original pretraining effectively destroyed?</w:t>
      </w:r>
    </w:p>
    <w:p>
      <w:pPr>
        <w:spacing w:after="120" w:line="300"/>
      </w:pPr>
      <w:r>
        <w:t xml:space="preserve">A: Not for a reasonably generic, same-language task — a model like DistilBERT showed under 1% accuracy drop relative to the full BERT it was distilled from, and fine-tuning it further on a generic task like sentiment classification doesn't meaningfully erase that foundation. The risk becomes real only when the new task is genuinely out of the pretrained distribution — switching to a different language being the clearest example, which would also require swapping out the tokenizer itself, not just continuing to train the existing one.</w:t>
      </w:r>
    </w:p>
    <w:p>
      <w:pPr>
        <w:spacing w:after="80" w:before="200"/>
      </w:pPr>
      <w:r>
        <w:rPr>
          <w:b/>
          <w:bCs/>
          <w:color w:val="8B2E2E"/>
        </w:rPr>
        <w:t xml:space="preserve">Q: Increasing the batch size made both training and validation loss worse — is there a concept being missed, or is some adjustment needed?</w:t>
      </w:r>
    </w:p>
    <w:p>
      <w:pPr>
        <w:spacing w:after="120" w:line="300"/>
      </w:pPr>
      <w:r>
        <w:t xml:space="preserve">A: Nothing is necessarily wrong — batch size is a hyperparameter, and nobody can state in advance that a higher batch size will universally help or hurt a given run. The only honest approach is the same one used for any hyperparameter: define a short list of candidate values, test each one, and keep whichever actually performs best on your validation set, rather than assuming a single 'correct' setting exists.</w:t>
      </w:r>
    </w:p>
    <w:p>
      <w:pPr>
        <w:spacing w:after="80" w:before="200"/>
      </w:pPr>
      <w:r>
        <w:rPr>
          <w:b/>
          <w:bCs/>
          <w:color w:val="8B2E2E"/>
        </w:rPr>
        <w:t xml:space="preserve">Q: Is there a way to run LLM-as-judge or LLM-as-jury evaluation at genuinely zero token cost?</w:t>
      </w:r>
    </w:p>
    <w:p>
      <w:pPr>
        <w:spacing w:after="120" w:line="300"/>
      </w:pPr>
      <w:r>
        <w:t xml:space="preserve">A: Not if an LLM is actually being called — that always carries some cost. The real zero-LLM-call alternative is a fully custom, deterministic scoring function built from several explicit rule-based or statistical conditions that all have to pass, with no model call involved at all. Where an LLM judge genuinely is needed, the practical compromise is using a meaningfully better model than the one under evaluation — not necessarily a top-tier or frontier model, just a clear step up from the system being judged.</w:t>
      </w:r>
    </w:p>
    <w:p>
      <w:pPr>
        <w:spacing w:after="80" w:before="200"/>
      </w:pPr>
      <w:r>
        <w:rPr>
          <w:b/>
          <w:bCs/>
          <w:color w:val="8B2E2E"/>
        </w:rPr>
        <w:t xml:space="preserve">Q: Once a model is fine-tuned and saved (or pushed) to Hugging Face, is that enough to start using it from an application?</w:t>
      </w:r>
    </w:p>
    <w:p>
      <w:pPr>
        <w:spacing w:after="120" w:line="300"/>
      </w:pPr>
      <w:r>
        <w:t xml:space="preserve">A: No — saving the model only stores its weights; actually using it from an application requires a dedicated inference server (commonly vLLM or SGLang) to serve requests. Hosting directly on the Hugging Face Hub as a serving layer is possible but considerably more costly at any real scale than self-hosting with one of those serving frameworks, which is why most production setups self-host rather than depend on a third party for serving.</w:t>
      </w:r>
    </w:p>
    <w:p>
      <w:pPr>
        <w:spacing w:after="80" w:before="200"/>
      </w:pPr>
      <w:r>
        <w:rPr>
          <w:b/>
          <w:bCs/>
          <w:color w:val="8B2E2E"/>
        </w:rPr>
        <w:t xml:space="preserve">Q: Could a multimodal LLM (used through something like DSPy) fully replace a dedicated OCR step in a document-extraction pipeline?</w:t>
      </w:r>
    </w:p>
    <w:p>
      <w:pPr>
        <w:spacing w:after="120" w:line="300"/>
      </w:pPr>
      <w:r>
        <w:t xml:space="preserve">A: It can, but only when the documents themselves are simple — the lower a document's structural complexity, the more reliably a multimodal model can read it directly without a separate OCR pass. For genuinely complex documents, a dedicated (even lightweight, CPU-only) OCR library is still the safer choice, since a multimodal model's raw extraction has to be correct for the downstream pipeline to work at all, and complexity is exactly where that accuracy tends to break down.</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BBAE" w:sz="6" w:space="4"/>
      </w:pBdr>
      <w:spacing w:after="160" w:before="320"/>
    </w:pPr>
    <w:rPr>
      <w:rFonts w:ascii="Calibri" w:cs="Calibri" w:eastAsia="Calibri" w:hAnsi="Calibri"/>
      <w:b/>
      <w:bCs/>
      <w:color w:val="8B2E2E"/>
      <w:sz w:val="30"/>
      <w:szCs w:val="30"/>
    </w:rPr>
  </w:style>
  <w:style w:type="paragraph" w:styleId="Heading2">
    <w:name w:val="Heading 2"/>
    <w:basedOn w:val="Normal"/>
    <w:next w:val="Normal"/>
    <w:qFormat/>
    <w:pPr>
      <w:spacing w:after="120" w:before="240"/>
    </w:pPr>
    <w:rPr>
      <w:rFonts w:ascii="Calibri" w:cs="Calibri" w:eastAsia="Calibri" w:hAnsi="Calibri"/>
      <w:b/>
      <w:bCs/>
      <w:color w:val="5A5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2026-10-06T17:59:44.652Z</dcterms:created>
  <dcterms:modified xsi:type="dcterms:W3CDTF">2026-10-06T17:59:44.652Z</dcterms:modified>
</cp:coreProperties>
</file>

<file path=docProps/custom.xml><?xml version="1.0" encoding="utf-8"?>
<Properties xmlns="http://schemas.openxmlformats.org/officeDocument/2006/custom-properties" xmlns:vt="http://schemas.openxmlformats.org/officeDocument/2006/docPropsVTypes"/>
</file>