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Prompt Engineering 101</w:t>
      </w:r>
    </w:p>
    <w:p>
      <w:pPr>
        <w:spacing w:after="60"/>
      </w:pPr>
      <w:r>
        <w:rPr>
          <w:i/>
          <w:iCs/>
          <w:color w:val="555555"/>
          <w:sz w:val="26"/>
          <w:szCs w:val="26"/>
        </w:rPr>
        <w:t xml:space="preserve">Self-study notes — 19 September 2026 (Part 4: Constrained Decoding, Vision Extraction &amp; DSPy)</w:t>
      </w:r>
    </w:p>
    <w:p>
      <w:pPr>
        <w:spacing w:after="400"/>
      </w:pPr>
      <w:r>
        <w:rPr>
          <w:color w:val="555555"/>
          <w:sz w:val="22"/>
          <w:szCs w:val="22"/>
        </w:rPr>
        <w:t xml:space="preserve">Finishing structured generation with Outlines (custom grammars, vision extraction) and starting DSPy: programming language models instead of prompting them.</w:t>
      </w:r>
    </w:p>
    <w:p>
      <w:pPr>
        <w:pStyle w:val="Heading1"/>
        <w:spacing w:after="160" w:before="320"/>
      </w:pPr>
      <w:r>
        <w:t xml:space="preserve">1. Context-Free Grammars: Constraining Generation to a Custom Blueprint</w:t>
      </w:r>
    </w:p>
    <w:p>
      <w:pPr>
        <w:spacing w:after="200" w:line="300"/>
      </w:pPr>
      <w:r>
        <w:t xml:space="preserve">Constrained decoding through context-free grammars (CFG) is the most restrictive — and most rarely needed — tool in the Outlines toolbox. The idea is to hand the model an explicit grammar (a blueprint of exactly which token sequences are legal) and have Outlines enforce it through token-level masking: at each generation step, the logits for any token that would violate the grammar are suppressed before sampling, so an invalid token can never be produced in the first place. If a partial sequence somehow still drifts away from a valid state, generation simply continues until the grammar's rules are satisfied again — the underlying finite state automaton from Theory of Computation is what tracks whether the current partial output is still in a legal state.</w:t>
      </w:r>
    </w:p>
    <w:p>
      <w:pPr>
        <w:pBdr>
          <w:left w:val="single" w:color="8B2E2E" w:sz="24" w:space="8"/>
        </w:pBdr>
        <w:shd w:fill="FBEEE6" w:val="clear"/>
        <w:spacing w:after="60" w:before="160"/>
        <w:ind w:left="100"/>
      </w:pPr>
      <w:r>
        <w:rPr>
          <w:b/>
          <w:bCs/>
          <w:color w:val="8B2E2E"/>
        </w:rPr>
        <w:t xml:space="preserve">⭑ Important — CFG-constrained decoding only works with models you host yourself</w:t>
      </w:r>
    </w:p>
    <w:p>
      <w:pPr>
        <w:pBdr>
          <w:left w:val="single" w:color="8B2E2E" w:sz="24" w:space="8"/>
        </w:pBdr>
        <w:shd w:fill="FBEEE6" w:val="clear"/>
        <w:spacing w:after="220" w:before="0"/>
        <w:ind w:left="100"/>
      </w:pPr>
      <w:r>
        <w:t xml:space="preserve">Token-level masking means directly intervening in the model's final output layer — deciding, before sampling, which tokens are even allowed to appear. No proprietary API (OpenAI, Gemini, Anthropic, Grok, and so on) exposes that level of access, partly for security reasons: letting an external caller rewrite a hosted model's own decoding process is not something any provider will allow. This technique is therefore only available with a model you load and run yourself — through Hugging Face Transformers, a local inference server, or something like vLLM — never through a closed commercial API call.</w:t>
      </w:r>
    </w:p>
    <w:p>
      <w:pPr>
        <w:spacing w:after="200" w:line="300"/>
      </w:pPr>
      <w:r>
        <w:t xml:space="preserve">Outlines expresses grammars in the Lark format, one of several standard notations for writing a CFG. A minimal arithmetic grammar used in class defines a chain of rules: start at an expression, an expression is built from terms combined with + or -, a term is built from numbers combined with * or /, and a number is finally defined as a regex pattern (digits with an optional decimal point). Whatever sits at the bottom of that chain — here, a plain number — is the only shape the final output is allowed to take, regardless of what the prompt itself asks for.</w:t>
      </w:r>
    </w:p>
    <w:p>
      <w:pPr>
        <w:spacing w:after="200" w:line="300"/>
      </w:pPr>
      <w:r>
        <w:t xml:space="preserve">The constraint is absolute, not a suggestion. When a demo prompt asked the model for "a mathematical expression for compound interest" while the active grammar only permitted single numbers, the model still produced a bare number rather than a formula — it is structurally incapable of generating anything else, even though the instruction itself doesn't make much sense under that restriction. This is the clearest way to see that CFG constraints operate independently of what the prompt asks for: the grammar is the real ceiling on the output, not the natural-language instruction.</w:t>
      </w:r>
    </w:p>
    <w:p>
      <w:pPr>
        <w:spacing w:after="200" w:line="300"/>
      </w:pPr>
      <w:r>
        <w:t xml:space="preserve">A second example built a tiny custom-DSL grammar that resembles SQL without actually being SQL: a start rule of select columns from table_name, a columns rule, and a table-name rule, each backed by a regex over allowed characters. Feeding it a request like "find products where status is active" produced output such as find products where status is equal to active — this is not valid SQL, just a structure that happens to look similar, because the grammar behind it was invented for the demo rather than copied from SQL's real (and far larger) grammar. When a generated value doesn't yet satisfy the grammar — for example, a condition's value hasn't been filled in correctly — the model simply keeps regenerating until the full sequence reaches a valid end state; there is no separate correction step, just block-and-retry at the token level.</w:t>
      </w:r>
    </w:p>
    <w:p>
      <w:pPr>
        <w:spacing w:after="200" w:line="300"/>
      </w:pPr>
      <w:r>
        <w:t xml:space="preserve">The practical takeaway is that CFG constraints matter only for genuinely custom frameworks or domain-specific languages that nobody else has access to — internal tools an organization built for itself, with no public documentation an LLM could have learned from. For anything mainstream (Python, SQL, Java, Rust), a capable LLM already carries implicit knowledge of that language's real grammar from training, so hand-writing and enforcing a CFG adds overhead without adding value. This is squarely Theory-of-Computation and compiler-design territory — writing grammars by hand is a skill most engineers never touch, and well under 1% of developers would ever have a direct reason to use this feature.</w:t>
      </w:r>
    </w:p>
    <w:p>
      <w:pPr>
        <w:spacing w:after="200" w:line="300"/>
      </w:pPr>
      <w:r>
        <w:t xml:space="preserve">One real limitation: if a custom grammar's rules (or any data being worked with) is larger than the model's context window, CFG itself offers no answer on its own — grammar rules can't be chunked without losing their meaning, and compressing them isn't really an option either. The documented workaround is to stop trying to fit everything into one prompt and instead reach for a recursive language model (RLM) approach, covered in depth in Section 5: load the oversized content into a Python variable and let the model incrementally inspect, filter, and query only the pieces it actually needs.</w:t>
      </w:r>
    </w:p>
    <w:p>
      <w:pPr>
        <w:pStyle w:val="Heading1"/>
        <w:spacing w:after="160" w:before="320"/>
      </w:pPr>
      <w:r>
        <w:t xml:space="preserve">2. Vision-Based Structured Extraction: When (and When Not) to Skip OCR</w:t>
      </w:r>
    </w:p>
    <w:p>
      <w:pPr>
        <w:spacing w:after="200" w:line="300"/>
      </w:pPr>
      <w:r>
        <w:t xml:space="preserve">Outlines also supports structured generation directly from images, not just text — a capability most competing structured-output libraries don't offer at all. The requirement is strict: the model in use must genuinely be a vision-language model (a VLM) with real multimodal capability, never a text-only model, since a text model has no mechanism for interpreting image input at all.</w:t>
      </w:r>
    </w:p>
    <w:p>
      <w:pPr>
        <w:spacing w:after="200" w:line="300"/>
      </w:pPr>
      <w:r>
        <w:t xml:space="preserve">Images are passed to the model as base64-encoded strings — the standard way to represent binary image data as plain text so it can travel inside a JSON payload or API call. The encode/decode round trip (image → base64 string → image again) is a common, fully reversible operation worth being comfortable with any time visual data needs to travel through an API that only accepts text.</w:t>
      </w:r>
    </w:p>
    <w:p>
      <w:pPr>
        <w:spacing w:after="200" w:line="300"/>
      </w:pPr>
      <w:r>
        <w:t xml:space="preserve">The overall pattern mirrors the structured-JSON workflow from earlier sessions, with an image added to the payload instead of (or alongside) text: define Pydantic models for the structure you want extracted — for example, a line-item model nested inside an invoice model carrying vendor, date, currency, line items, and total — share that schema with the model alongside the image, and validate the output exactly as with any other structured generation call.</w:t>
      </w:r>
    </w:p>
    <w:p>
      <w:pPr>
        <w:pBdr>
          <w:left w:val="single" w:color="8B2E2E" w:sz="24" w:space="8"/>
        </w:pBdr>
        <w:shd w:fill="FBEEE6" w:val="clear"/>
        <w:spacing w:after="60" w:before="160"/>
        <w:ind w:left="100"/>
      </w:pPr>
      <w:r>
        <w:rPr>
          <w:b/>
          <w:bCs/>
          <w:color w:val="8B2E2E"/>
        </w:rPr>
        <w:t xml:space="preserve">⭑ Important — Vision-language model calls are a real production cost, not just a capability question</w:t>
      </w:r>
    </w:p>
    <w:p>
      <w:pPr>
        <w:pBdr>
          <w:left w:val="single" w:color="8B2E2E" w:sz="24" w:space="8"/>
        </w:pBdr>
        <w:shd w:fill="FBEEE6" w:val="clear"/>
        <w:spacing w:after="220" w:before="0"/>
        <w:ind w:left="100"/>
      </w:pPr>
      <w:r>
        <w:t xml:space="preserve">Calling a VLM is meaningfully more expensive than calling the same provider's text-only model — commonly cited at roughly 1.5x to 2.25x the price for comparable work. That cost difference is why very few production systems default to sending raw images straight into a VLM: it's common practice to put a lightweight OCR layer in front of the LLM instead, reserving direct VLM calls for cases where OCR quality genuinely isn't good enough to rely on.</w:t>
      </w:r>
    </w:p>
    <w:p>
      <w:pPr>
        <w:spacing w:after="200" w:line="300"/>
      </w:pPr>
      <w:r>
        <w:t xml:space="preserve">A live demo on a handwritten invoice image showed exactly why that caution matters: the extracted line items were mostly right (item names, quantities), but several numeric fields came out wrong — duplicated zeros, a dropped decimal digit, an ambiguous or missing currency symbol — and different people running the identical notebook against different models got different (and sometimes differently wrong) answers for the same image. The lesson isn't that any particular model failed; output quality tracks input quality almost one-to-one, because the model has no more information available to it than what's visible in the pixels — if a human would struggle to read the handwriting, the model struggles just as much.</w:t>
      </w:r>
    </w:p>
    <w:p>
      <w:pPr>
        <w:spacing w:after="200" w:line="300"/>
      </w:pPr>
      <w:r>
        <w:t xml:space="preserve">A second demo extracting structured data from a bar chart (data-point labels and values, chart type, axis titles) performed far more reliably, simply because the source image was a clean, digitally rendered chart rather than something handwritten. This reinforces that image quality, not model choice, is usually the deciding factor in whether direct VLM extraction is viable at all for a given document type.</w:t>
      </w:r>
    </w:p>
    <w:p>
      <w:pPr>
        <w:spacing w:after="200" w:line="300"/>
      </w:pPr>
      <w:r>
        <w:t xml:space="preserve">For a production validator, the recommended pattern is not to double-check every VLM extraction with a second, equally expensive VLM call. Instead, run a cheap, lightweight OCR pass over the same document and cross-check that its raw text contains the key values the VLM extracted — OCR is dramatically cheaper than a vision-model call, which makes it a far more economical sanity check than re-running the expensive operation just to validate itself.</w:t>
      </w:r>
    </w:p>
    <w:p>
      <w:pPr>
        <w:spacing w:after="200" w:line="300"/>
      </w:pPr>
      <w:r>
        <w:t xml:space="preserve">The same Outlines vision workflow also supports batch and asynchronous processing — submitting several documents' extraction calls in parallel instead of one at a time. This is the same ordinary async-call pattern used for any LLM API, simply applied to several images in one pass rather than a single call, and it's worth remembering that the LLM itself must support concurrent calls for this to actually run in parallel rather than silently serializing.</w:t>
      </w:r>
    </w:p>
    <w:p>
      <w:pPr>
        <w:spacing w:after="200" w:line="300"/>
      </w:pPr>
      <w:r>
        <w:t xml:space="preserve">The working rule of thumb: pair a state-of-the-art vision-capable model with genuinely high-quality images and direct extraction works fine without OCR. The moment either condition isn't met — an older or weaker VLM, or a messy, handwritten, or low-resolution source document — add at least one OCR pass ahead of the LLM rather than trusting the VLM to compensate for bad input on its own.</w:t>
      </w:r>
    </w:p>
    <w:p>
      <w:pPr>
        <w:pStyle w:val="Heading1"/>
        <w:spacing w:after="160" w:before="320"/>
      </w:pPr>
      <w:r>
        <w:t xml:space="preserve">3. DSPy: Programming Language Models Instead of Prompting Them</w:t>
      </w:r>
    </w:p>
    <w:p>
      <w:pPr>
        <w:spacing w:after="200" w:line="300"/>
      </w:pPr>
      <w:r>
        <w:t xml:space="preserve">DSPy (Declarative Self-improving Python) is built around a single reframing: instead of hand-writing and endlessly tweaking prompt strings, you write typed Python code, and DSPy handles turning that code into the actual calls made to a language model. The name is literal — DSPy only works in Python, which is also where the name comes from. It originates from Stanford and has been under active development for several years; despite roughly five million downloads a month, real-world awareness of it still lags well behind how capable it is.</w:t>
      </w:r>
    </w:p>
    <w:p>
      <w:pPr>
        <w:pBdr>
          <w:left w:val="single" w:color="8B2E2E" w:sz="24" w:space="8"/>
        </w:pBdr>
        <w:shd w:fill="FBEEE6" w:val="clear"/>
        <w:spacing w:after="60" w:before="160"/>
        <w:ind w:left="100"/>
      </w:pPr>
      <w:r>
        <w:rPr>
          <w:b/>
          <w:bCs/>
          <w:color w:val="8B2E2E"/>
        </w:rPr>
        <w:t xml:space="preserve">⭑ Important — The core idea worth remembering: replace prompts with programs</w:t>
      </w:r>
    </w:p>
    <w:p>
      <w:pPr>
        <w:pBdr>
          <w:left w:val="single" w:color="8B2E2E" w:sz="24" w:space="8"/>
        </w:pBdr>
        <w:shd w:fill="FBEEE6" w:val="clear"/>
        <w:spacing w:after="220" w:before="0"/>
        <w:ind w:left="100"/>
      </w:pPr>
      <w:r>
        <w:t xml:space="preserve">Everywhere a hand-crafted prompt string would otherwise sit — inside a RAG pipeline, inside an agent, as part of any ordinary LLM call — DSPy's position is that a typed, declarative program is a more maintainable, more portable, and ultimately more optimizable substitute. This is the single idea the rest of DSPy builds on, and it's why DSPy is described as a framework for programming language models rather than prompting them.</w:t>
      </w:r>
    </w:p>
    <w:p>
      <w:pPr>
        <w:spacing w:after="200" w:line="300"/>
      </w:pPr>
      <w:r>
        <w:t xml:space="preserve">Getting started is a simple pip install dspy. Internally, every call DSPy makes to any LLM is routed through LiteLLM, a widely used AI gateway package supporting a long list of providers (OpenAI, Anthropic, Azure, Bedrock, Vertex AI, Cohere, and dozens more) behind one interface. LiteLLM is convenient for its breadth of provider support, but it has had publicly reported security issues in the past — in a serious production setup, routing DSPy's calls through a more hardened gateway instead (alternatives such as Bifrost or Cloudflare's AI gateway were mentioned) is a reasonable precaution rather than an exotic one.</w:t>
      </w:r>
    </w:p>
    <w:p>
      <w:pPr>
        <w:spacing w:after="200" w:line="300"/>
      </w:pPr>
      <w:r>
        <w:t xml:space="preserve">DSPy organizes around three concepts. Signatures define what a task's input and output look like. Modules decide how a signature actually gets executed — a plain call, a reasoning-augmented call, a code-generation call, and so on. Optimizers (an older name still visible in some imports is teleprompters) automatically tune the prompt wording and/or few-shot examples behind a signature, rather than requiring that tuning to be done by hand. Signatures and modules are covered in depth in the next two sections; optimizers are introduced only at a high level here, since they were flagged as a full topic for the next class.</w:t>
      </w:r>
    </w:p>
    <w:p>
      <w:pPr>
        <w:pStyle w:val="Heading1"/>
        <w:spacing w:after="160" w:before="320"/>
      </w:pPr>
      <w:r>
        <w:t xml:space="preserve">4. Signatures: The Typed Contract Between You and the LLM</w:t>
      </w:r>
    </w:p>
    <w:p>
      <w:pPr>
        <w:spacing w:after="200" w:line="300"/>
      </w:pPr>
      <w:r>
        <w:t xml:space="preserve">A signature is DSPy's typed contract between you and the language model, and it always declares exactly three things: the task itself (a single-line description, written as an ordinary Python docstring), the typed input field(s) the model will receive, and the typed output field(s) it must produce. Deliberately absent from a signature is anything resembling prompt-engineering style — no persona ("you are an expert in..."), no tone instructions, no few-shot examples baked into the text. That separation is intentional: a signature states the contract, not the style.</w:t>
      </w:r>
    </w:p>
    <w:p>
      <w:pPr>
        <w:spacing w:after="200" w:line="300"/>
      </w:pPr>
      <w:r>
        <w:t xml:space="preserve">A minimal class-based signature looks like a small typed class: class QuestionAnswering(dspy.Signature) carries a one-line docstring ("Answer questions with short, factual responses"), then question = dspy.InputField() and answer = dspy.OutputField(desc="a concise and factual answer"). Fields can be typed beyond plain strings — a Literal type (for example, urgency: Literal["low", "medium", "high"]) constrains an output field to one of a fixed set of labels, echoing the same idea seen earlier with Pydantic and Instructor. A signature can also declare more than one input field whenever a task genuinely needs several pieces of information at once.</w:t>
      </w:r>
    </w:p>
    <w:p>
      <w:pPr>
        <w:spacing w:after="200" w:line="300"/>
      </w:pPr>
      <w:r>
        <w:t xml:space="preserve">DSPy supports two ways of writing a signature. The inline form (a single-line shorthand such as dspy.Predict("text -&gt; sentiment, confidence")) is fast to write and fine for quick prototyping, but it can only carry a limited amount of information in one line — testing in class showed it didn't reliably reach the same output quality as the explicit class-based form, and even an expanded inline signature with extra instructions text didn't fully close that gap. The class-based form is the one to default to for anything beyond a quick experiment, since a docstring plus per-field descriptions give the model noticeably more to work with.</w:t>
      </w:r>
    </w:p>
    <w:p>
      <w:pPr>
        <w:pStyle w:val="Heading1"/>
        <w:spacing w:after="160" w:before="320"/>
      </w:pPr>
      <w:r>
        <w:t xml:space="preserve">5. Modules: How a Signature Actually Gets Executed</w:t>
      </w:r>
    </w:p>
    <w:p>
      <w:pPr>
        <w:spacing w:after="200" w:line="300"/>
      </w:pPr>
      <w:r>
        <w:t xml:space="preserve">Once a signature defines what a task's input and output look like, a module decides how that signature actually becomes a model call. Every module takes a signature as its input — that pairing is the core mechanical pattern behind every DSPy call, no matter which module is used.</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000"/>
        <w:gridCol w:w="4200"/>
        <w:gridCol w:w="2800"/>
      </w:tblGrid>
      <w:tr>
        <w:trPr>
          <w:tblHeader/>
        </w:trPr>
        <w:tc>
          <w:tcPr>
            <w:tcW w:type="dxa" w:w="2000"/>
            <w:shd w:fill="EDE3DA" w:val="clear"/>
            <w:tcMar>
              <w:top w:type="dxa" w:w="80"/>
              <w:left w:type="dxa" w:w="100"/>
              <w:bottom w:type="dxa" w:w="80"/>
              <w:right w:type="dxa" w:w="100"/>
            </w:tcMar>
          </w:tcPr>
          <w:p>
            <w:r>
              <w:rPr>
                <w:b/>
                <w:bCs/>
              </w:rPr>
              <w:t xml:space="preserve">Module</w:t>
            </w:r>
          </w:p>
        </w:tc>
        <w:tc>
          <w:tcPr>
            <w:tcW w:type="dxa" w:w="4200"/>
            <w:shd w:fill="EDE3DA" w:val="clear"/>
            <w:tcMar>
              <w:top w:type="dxa" w:w="80"/>
              <w:left w:type="dxa" w:w="100"/>
              <w:bottom w:type="dxa" w:w="80"/>
              <w:right w:type="dxa" w:w="100"/>
            </w:tcMar>
          </w:tcPr>
          <w:p>
            <w:r>
              <w:rPr>
                <w:b/>
                <w:bCs/>
              </w:rPr>
              <w:t xml:space="preserve">What it does</w:t>
            </w:r>
          </w:p>
        </w:tc>
        <w:tc>
          <w:tcPr>
            <w:tcW w:type="dxa" w:w="2800"/>
            <w:shd w:fill="EDE3DA" w:val="clear"/>
            <w:tcMar>
              <w:top w:type="dxa" w:w="80"/>
              <w:left w:type="dxa" w:w="100"/>
              <w:bottom w:type="dxa" w:w="80"/>
              <w:right w:type="dxa" w:w="100"/>
            </w:tcMar>
          </w:tcPr>
          <w:p>
            <w:r>
              <w:rPr>
                <w:b/>
                <w:bCs/>
              </w:rPr>
              <w:t xml:space="preserve">When to reach for it</w:t>
            </w:r>
          </w:p>
        </w:tc>
      </w:tr>
      <w:tr>
        <w:tc>
          <w:tcPr>
            <w:tcW w:type="dxa" w:w="2000"/>
            <w:tcMar>
              <w:top w:type="dxa" w:w="60"/>
              <w:left w:type="dxa" w:w="100"/>
              <w:bottom w:type="dxa" w:w="60"/>
              <w:right w:type="dxa" w:w="100"/>
            </w:tcMar>
          </w:tcPr>
          <w:p>
            <w:r>
              <w:t xml:space="preserve">Predict</w:t>
            </w:r>
          </w:p>
        </w:tc>
        <w:tc>
          <w:tcPr>
            <w:tcW w:type="dxa" w:w="4200"/>
            <w:tcMar>
              <w:top w:type="dxa" w:w="60"/>
              <w:left w:type="dxa" w:w="100"/>
              <w:bottom w:type="dxa" w:w="60"/>
              <w:right w:type="dxa" w:w="100"/>
            </w:tcMar>
          </w:tcPr>
          <w:p>
            <w:r>
              <w:t xml:space="preserve">Makes a direct, single LLM call from the signature — no reasoning, no code execution, the plainest possible call.</w:t>
            </w:r>
          </w:p>
        </w:tc>
        <w:tc>
          <w:tcPr>
            <w:tcW w:type="dxa" w:w="2800"/>
            <w:tcMar>
              <w:top w:type="dxa" w:w="60"/>
              <w:left w:type="dxa" w:w="100"/>
              <w:bottom w:type="dxa" w:w="60"/>
              <w:right w:type="dxa" w:w="100"/>
            </w:tcMar>
          </w:tcPr>
          <w:p>
            <w:r>
              <w:t xml:space="preserve">The default — used for roughly 70% of real calls. Start here unless a task specifically needs more.</w:t>
            </w:r>
          </w:p>
        </w:tc>
      </w:tr>
      <w:tr>
        <w:tc>
          <w:tcPr>
            <w:tcW w:type="dxa" w:w="2000"/>
            <w:tcMar>
              <w:top w:type="dxa" w:w="60"/>
              <w:left w:type="dxa" w:w="100"/>
              <w:bottom w:type="dxa" w:w="60"/>
              <w:right w:type="dxa" w:w="100"/>
            </w:tcMar>
          </w:tcPr>
          <w:p>
            <w:r>
              <w:t xml:space="preserve">ChainOfThought (COT)</w:t>
            </w:r>
          </w:p>
        </w:tc>
        <w:tc>
          <w:tcPr>
            <w:tcW w:type="dxa" w:w="4200"/>
            <w:tcMar>
              <w:top w:type="dxa" w:w="60"/>
              <w:left w:type="dxa" w:w="100"/>
              <w:bottom w:type="dxa" w:w="60"/>
              <w:right w:type="dxa" w:w="100"/>
            </w:tcMar>
          </w:tcPr>
          <w:p>
            <w:r>
              <w:t xml:space="preserve">Same signature, but the model is also asked to produce a reasoning trace, retrievable as result.reasoning, before the final answer.</w:t>
            </w:r>
          </w:p>
        </w:tc>
        <w:tc>
          <w:tcPr>
            <w:tcW w:type="dxa" w:w="2800"/>
            <w:tcMar>
              <w:top w:type="dxa" w:w="60"/>
              <w:left w:type="dxa" w:w="100"/>
              <w:bottom w:type="dxa" w:w="60"/>
              <w:right w:type="dxa" w:w="100"/>
            </w:tcMar>
          </w:tcPr>
          <w:p>
            <w:r>
              <w:t xml:space="preserve">When reasoning visibility matters (e.g. generating fine-tuning data) or the task benefits from explicit step-by-step thinking. Costs more tokens than Predict.</w:t>
            </w:r>
          </w:p>
        </w:tc>
      </w:tr>
      <w:tr>
        <w:tc>
          <w:tcPr>
            <w:tcW w:type="dxa" w:w="2000"/>
            <w:tcMar>
              <w:top w:type="dxa" w:w="60"/>
              <w:left w:type="dxa" w:w="100"/>
              <w:bottom w:type="dxa" w:w="60"/>
              <w:right w:type="dxa" w:w="100"/>
            </w:tcMar>
          </w:tcPr>
          <w:p>
            <w:r>
              <w:t xml:space="preserve">ProgramOfThought (POT)</w:t>
            </w:r>
          </w:p>
        </w:tc>
        <w:tc>
          <w:tcPr>
            <w:tcW w:type="dxa" w:w="4200"/>
            <w:tcMar>
              <w:top w:type="dxa" w:w="60"/>
              <w:left w:type="dxa" w:w="100"/>
              <w:bottom w:type="dxa" w:w="60"/>
              <w:right w:type="dxa" w:w="100"/>
            </w:tcMar>
          </w:tcPr>
          <w:p>
            <w:r>
              <w:t xml:space="preserve">The model first writes Python code to solve the task, the code runs in a sandboxed interpreter, and the computed result is fed back for the final answer. A failed run triggers automatic regeneration.</w:t>
            </w:r>
          </w:p>
        </w:tc>
        <w:tc>
          <w:tcPr>
            <w:tcW w:type="dxa" w:w="2800"/>
            <w:tcMar>
              <w:top w:type="dxa" w:w="60"/>
              <w:left w:type="dxa" w:w="100"/>
              <w:bottom w:type="dxa" w:w="60"/>
              <w:right w:type="dxa" w:w="100"/>
            </w:tcMar>
          </w:tcPr>
          <w:p>
            <w:r>
              <w:t xml:space="preserve">Genuinely computational tasks where delegating arithmetic to real code beats the model guessing an answer directly. Avoid it for non-computational questions.</w:t>
            </w:r>
          </w:p>
        </w:tc>
      </w:tr>
      <w:tr>
        <w:tc>
          <w:tcPr>
            <w:tcW w:type="dxa" w:w="2000"/>
            <w:tcMar>
              <w:top w:type="dxa" w:w="60"/>
              <w:left w:type="dxa" w:w="100"/>
              <w:bottom w:type="dxa" w:w="60"/>
              <w:right w:type="dxa" w:w="100"/>
            </w:tcMar>
          </w:tcPr>
          <w:p>
            <w:r>
              <w:t xml:space="preserve">CodeAct (deprecated)</w:t>
            </w:r>
          </w:p>
        </w:tc>
        <w:tc>
          <w:tcPr>
            <w:tcW w:type="dxa" w:w="4200"/>
            <w:tcMar>
              <w:top w:type="dxa" w:w="60"/>
              <w:left w:type="dxa" w:w="100"/>
              <w:bottom w:type="dxa" w:w="60"/>
              <w:right w:type="dxa" w:w="100"/>
            </w:tcMar>
          </w:tcPr>
          <w:p>
            <w:r>
              <w:t xml:space="preserve">An earlier, similar code-generation-plus-execution module.</w:t>
            </w:r>
          </w:p>
        </w:tc>
        <w:tc>
          <w:tcPr>
            <w:tcW w:type="dxa" w:w="2800"/>
            <w:tcMar>
              <w:top w:type="dxa" w:w="60"/>
              <w:left w:type="dxa" w:w="100"/>
              <w:bottom w:type="dxa" w:w="60"/>
              <w:right w:type="dxa" w:w="100"/>
            </w:tcMar>
          </w:tcPr>
          <w:p>
            <w:r>
              <w:t xml:space="preserve">Being removed starting DSPy 3.5 — RLM is the documented replacement for new work.</w:t>
            </w:r>
          </w:p>
        </w:tc>
      </w:tr>
      <w:tr>
        <w:tc>
          <w:tcPr>
            <w:tcW w:type="dxa" w:w="2000"/>
            <w:tcMar>
              <w:top w:type="dxa" w:w="60"/>
              <w:left w:type="dxa" w:w="100"/>
              <w:bottom w:type="dxa" w:w="60"/>
              <w:right w:type="dxa" w:w="100"/>
            </w:tcMar>
          </w:tcPr>
          <w:p>
            <w:r>
              <w:t xml:space="preserve">RLM (Recursive Language Model)</w:t>
            </w:r>
          </w:p>
        </w:tc>
        <w:tc>
          <w:tcPr>
            <w:tcW w:type="dxa" w:w="4200"/>
            <w:tcMar>
              <w:top w:type="dxa" w:w="60"/>
              <w:left w:type="dxa" w:w="100"/>
              <w:bottom w:type="dxa" w:w="60"/>
              <w:right w:type="dxa" w:w="100"/>
            </w:tcMar>
          </w:tcPr>
          <w:p>
            <w:r>
              <w:t xml:space="preserve">Saves large data into a Python variable instead of pasting it into the prompt, then has the model write Python to incrementally search, filter, chunk, summarize, or sub-query that variable.</w:t>
            </w:r>
          </w:p>
        </w:tc>
        <w:tc>
          <w:tcPr>
            <w:tcW w:type="dxa" w:w="2800"/>
            <w:tcMar>
              <w:top w:type="dxa" w:w="60"/>
              <w:left w:type="dxa" w:w="100"/>
              <w:bottom w:type="dxa" w:w="60"/>
              <w:right w:type="dxa" w:w="100"/>
            </w:tcMar>
          </w:tcPr>
          <w:p>
            <w:r>
              <w:t xml:space="preserve">Any case where the input (a document, a codebase, a database schema) is too large to fit into context at all.</w:t>
            </w:r>
          </w:p>
        </w:tc>
      </w:tr>
    </w:tbl>
    <w:p>
      <w:pPr>
        <w:pBdr>
          <w:left w:val="single" w:color="8B2E2E" w:sz="24" w:space="8"/>
        </w:pBdr>
        <w:shd w:fill="FBEEE6" w:val="clear"/>
        <w:spacing w:after="60" w:before="160"/>
        <w:ind w:left="100"/>
      </w:pPr>
      <w:r>
        <w:rPr>
          <w:b/>
          <w:bCs/>
          <w:color w:val="8B2E2E"/>
        </w:rPr>
        <w:t xml:space="preserve">⭑ Important — ProgramOfThought code can only use Python's standard library</w:t>
      </w:r>
    </w:p>
    <w:p>
      <w:pPr>
        <w:pBdr>
          <w:left w:val="single" w:color="8B2E2E" w:sz="24" w:space="8"/>
        </w:pBdr>
        <w:shd w:fill="FBEEE6" w:val="clear"/>
        <w:spacing w:after="220" w:before="0"/>
        <w:ind w:left="100"/>
      </w:pPr>
      <w:r>
        <w:t xml:space="preserve">The sandbox DSPy runs generated code in (built on Deno, a WebAssembly-based runtime, communicating over JSON-RPC) cannot install new packages. So if a generated solution calls for pandas or polars to read a CSV and neither is pre-installed, it fails with a module-not-found error — and the model automatically regenerates the code, trying progressively lower-level approaches (such as Python's built-in csv module or plain file reads) until something actually runs. This matters because it means ProgramOfThought implicitly nudges solutions toward pure-Python, dependency-free code, not whatever a developer might normally reach for.</w:t>
      </w:r>
    </w:p>
    <w:p>
      <w:pPr>
        <w:pBdr>
          <w:left w:val="single" w:color="8B2E2E" w:sz="24" w:space="8"/>
        </w:pBdr>
        <w:shd w:fill="FBEEE6" w:val="clear"/>
        <w:spacing w:after="60" w:before="160"/>
        <w:ind w:left="100"/>
      </w:pPr>
      <w:r>
        <w:rPr>
          <w:b/>
          <w:bCs/>
          <w:color w:val="8B2E2E"/>
        </w:rPr>
        <w:t xml:space="preserve">⭑ Important — RLM is the modern answer to context-window limits, not chunking</w:t>
      </w:r>
    </w:p>
    <w:p>
      <w:pPr>
        <w:pBdr>
          <w:left w:val="single" w:color="8B2E2E" w:sz="24" w:space="8"/>
        </w:pBdr>
        <w:shd w:fill="FBEEE6" w:val="clear"/>
        <w:spacing w:after="220" w:before="0"/>
        <w:ind w:left="100"/>
      </w:pPr>
      <w:r>
        <w:t xml:space="preserve">The instinct to handle oversized input by chunking it into smaller pieces loses context across chunk boundaries — a failure mode closely related to what the 2025 "Context Rot" research describes (worth reading directly for anyone working on long-context tasks). RLM sidesteps this by never putting the full document in the prompt at all: the data lives in a Python variable, and the model's job becomes writing code that asks targeted questions of that variable, pulling back only the specific slices it needs for each step. This generalizes beyond documents — a database with tens of thousands of tables feeding a text-to-SQL use case is a realistic candidate for the same pattern, since the full schema would never fit in a prompt either.</w:t>
      </w:r>
    </w:p>
    <w:p>
      <w:pPr>
        <w:spacing w:after="200" w:line="300"/>
      </w:pPr>
      <w:r>
        <w:t xml:space="preserve">Picking the right module for the task matters as much as knowing the modules exist. In a side-by-side comparison, all three core modules (Predict, COT, ProgramOfThought) were asked to "explain transformer attention in one sentence" — ProgramOfThought tried to generate code for a task with no computational component at all, producing an irrelevant result at a much higher token cost than simply calling Predict. A handful of further modules exist for narrower needs — BestOfN (run a module several times and keep the best-scoring result), MultiChainComparison (compare outputs across multiple LLM calls), Parallel, and Flex — each useful in more specialized situations than Predict, COT, POT, or RLM.</w:t>
      </w:r>
    </w:p>
    <w:p>
      <w:pPr>
        <w:pStyle w:val="Heading1"/>
        <w:spacing w:after="160" w:before="320"/>
      </w:pPr>
      <w:r>
        <w:t xml:space="preserve">6. DSPy in the Broader Toolchain: Where It Fits and Where It Doesn't</w:t>
      </w:r>
    </w:p>
    <w:p>
      <w:pPr>
        <w:spacing w:after="200" w:line="300"/>
      </w:pPr>
      <w:r>
        <w:t xml:space="preserve">DSPy is not an agentic framework in the way LangChain or LangGraph are — it has no built-in notion of agent loops, tool orchestration, or multi-step planning. What it replaces is the hand-written prompt string that frameworks like LangChain or LangGraph still rely on internally for every LLM call. DSPy and an agentic framework are complementary, not competing: a React-style agent or a RAG pipeline built in another framework can still have its internal prompts swapped out for DSPy signatures and modules, with a small amount of extra state management to pass information between the two.</w:t>
      </w:r>
    </w:p>
    <w:p>
      <w:pPr>
        <w:spacing w:after="200" w:line="300"/>
      </w:pPr>
      <w:r>
        <w:t xml:space="preserve">When choosing between Pydantic-based approaches (Instructor/Outlines) and DSPy, the working heuristic offered was roughly 70% Pydantic, 30% DSPy — the split depends entirely on the use case rather than a blanket preference for one over the other. Outlines or Instructor tend to fit lower-level, single-call structured-output needs; DSPy tends to fit larger systems where a request benefits from decomposition, reasoning, or eventual automatic optimization across many calls.</w:t>
      </w:r>
    </w:p>
    <w:p>
      <w:pPr>
        <w:spacing w:after="200" w:line="300"/>
      </w:pPr>
      <w:r>
        <w:t xml:space="preserve">Optimizers (the module category formerly called teleprompters) are DSPy's headline differentiator — the thing no other prompting framework offers out of the box: automatically tuning a signature's prompt wording and/or its few-shot examples against real outcomes, using named algorithms like MIPROv2, BootstrapFewShot, and GEPA, each one a published research paper that DSPy has directly implemented. None of these were run hands-on in this session; the plan is to cover their implementations directly in the next class rather than lecture on the underlying papers, given how much depth each one has on its own.</w:t>
      </w:r>
    </w:p>
    <w:p>
      <w:pPr>
        <w:spacing w:after="200" w:line="300"/>
      </w:pPr>
      <w:r>
        <w:t xml:space="preserve">Migrating an existing, prompt-heavy production codebase to DSPy is a genuinely large undertaking, not a quick refactor. The recommended process is to take each existing prompt, convert it into its own signature, build an internal test harness of roughly 50 to 100 sample input/expected-output pairs for that specific prompt, validate that the DSPy version performs at least as well, and only then cut over — repeating that one prompt at a time across however many prompts a system has. An organization running thousands of production prompts should expect this to be a correspondingly large effort, not something done in one pass.</w:t>
      </w:r>
    </w:p>
    <w:p>
      <w:pPr>
        <w:spacing w:after="200" w:line="300"/>
      </w:pPr>
      <w:r>
        <w:t xml:space="preserve">One practical, if informal, data point: across roughly 30 to 40 interviews, only two or three candidates were able to speak to DSPy at all — a sign that real-world adoption, at least in some markets, lags well behind how capable and widely downloaded the framework actually is.</w:t>
      </w:r>
    </w:p>
    <w:p>
      <w:pPr>
        <w:pStyle w:val="Heading1"/>
        <w:spacing w:after="160" w:before="320"/>
      </w:pPr>
      <w:r>
        <w:t xml:space="preserve">Closing Notes / What's Next</w:t>
      </w:r>
    </w:p>
    <w:p>
      <w:pPr>
        <w:spacing w:after="200" w:line="300"/>
      </w:pPr>
      <w:r>
        <w:t xml:space="preserve">This session closed out Module 2's structured-generation arc: CFG-based constrained decoding and vision-based extraction wrapped up the Outlines material, and DSPy's signatures and modules were introduced as the next escalation in controllability. The next session continues directly from here — covering DSPy's remaining notebooks (a RAG pipeline, a simple ReAct-style agent built with DSPy, and at least one worked RLM example) before moving into DSPy's optimizers (MIPROv2, BootstrapFewShot, GEPA) at an implementation level rather than a theoretical one.</w:t>
      </w:r>
    </w:p>
    <w:p>
      <w:pPr>
        <w:spacing w:after="200" w:line="300"/>
      </w:pPr>
      <w:r>
        <w:t xml:space="preserve">Homework before the next class: test the vision-extraction notebook against your own invoice or document images (note which model and image quality you used, since results vary heavily on both), and optionally try replacing one existing prompt-based component with a DSPy signature to get a feel for the migration process described above. Module 3 — described as a research-heavy module covering post-attention/positional-encoding variants and a first look at distillation (DistilBERT/DistilGPT-style approaches) — begins the following week once DSPy wraps up.</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600"/>
        <w:gridCol w:w="6400"/>
      </w:tblGrid>
      <w:tr>
        <w:trPr>
          <w:tblHeader/>
        </w:trPr>
        <w:tc>
          <w:tcPr>
            <w:tcW w:type="dxa" w:w="2600"/>
            <w:shd w:fill="EDE3DA" w:val="clear"/>
            <w:tcMar>
              <w:top w:type="dxa" w:w="80"/>
              <w:left w:type="dxa" w:w="100"/>
              <w:bottom w:type="dxa" w:w="80"/>
              <w:right w:type="dxa" w:w="100"/>
            </w:tcMar>
          </w:tcPr>
          <w:p>
            <w:r>
              <w:rPr>
                <w:b/>
                <w:bCs/>
              </w:rPr>
              <w:t xml:space="preserve">Term</w:t>
            </w:r>
          </w:p>
        </w:tc>
        <w:tc>
          <w:tcPr>
            <w:tcW w:type="dxa" w:w="6400"/>
            <w:shd w:fill="EDE3DA" w:val="clear"/>
            <w:tcMar>
              <w:top w:type="dxa" w:w="80"/>
              <w:left w:type="dxa" w:w="100"/>
              <w:bottom w:type="dxa" w:w="80"/>
              <w:right w:type="dxa" w:w="100"/>
            </w:tcMar>
          </w:tcPr>
          <w:p>
            <w:r>
              <w:rPr>
                <w:b/>
                <w:bCs/>
              </w:rPr>
              <w:t xml:space="preserve">Meaning</w:t>
            </w:r>
          </w:p>
        </w:tc>
      </w:tr>
      <w:tr>
        <w:tc>
          <w:tcPr>
            <w:tcW w:type="dxa" w:w="2600"/>
            <w:tcMar>
              <w:top w:type="dxa" w:w="60"/>
              <w:left w:type="dxa" w:w="100"/>
              <w:bottom w:type="dxa" w:w="60"/>
              <w:right w:type="dxa" w:w="100"/>
            </w:tcMar>
          </w:tcPr>
          <w:p>
            <w:r>
              <w:t xml:space="preserve">CFG (Context-Free Grammar)</w:t>
            </w:r>
          </w:p>
        </w:tc>
        <w:tc>
          <w:tcPr>
            <w:tcW w:type="dxa" w:w="6400"/>
            <w:tcMar>
              <w:top w:type="dxa" w:w="60"/>
              <w:left w:type="dxa" w:w="100"/>
              <w:bottom w:type="dxa" w:w="60"/>
              <w:right w:type="dxa" w:w="100"/>
            </w:tcMar>
          </w:tcPr>
          <w:p>
            <w:r>
              <w:t xml:space="preserve">A formal set of production rules (here in Lark format) defining every legal token sequence an output can take; used with Outlines to constrain generation to a custom blueprint.</w:t>
            </w:r>
          </w:p>
        </w:tc>
      </w:tr>
      <w:tr>
        <w:tc>
          <w:tcPr>
            <w:tcW w:type="dxa" w:w="2600"/>
            <w:tcMar>
              <w:top w:type="dxa" w:w="60"/>
              <w:left w:type="dxa" w:w="100"/>
              <w:bottom w:type="dxa" w:w="60"/>
              <w:right w:type="dxa" w:w="100"/>
            </w:tcMar>
          </w:tcPr>
          <w:p>
            <w:r>
              <w:t xml:space="preserve">Token-level masking</w:t>
            </w:r>
          </w:p>
        </w:tc>
        <w:tc>
          <w:tcPr>
            <w:tcW w:type="dxa" w:w="6400"/>
            <w:tcMar>
              <w:top w:type="dxa" w:w="60"/>
              <w:left w:type="dxa" w:w="100"/>
              <w:bottom w:type="dxa" w:w="60"/>
              <w:right w:type="dxa" w:w="100"/>
            </w:tcMar>
          </w:tcPr>
          <w:p>
            <w:r>
              <w:t xml:space="preserve">Suppressing the logits of any token that would violate an active constraint before sampling, so illegal tokens can never be generated — requires direct access to a model's decoding step, hence local models only.</w:t>
            </w:r>
          </w:p>
        </w:tc>
      </w:tr>
      <w:tr>
        <w:tc>
          <w:tcPr>
            <w:tcW w:type="dxa" w:w="2600"/>
            <w:tcMar>
              <w:top w:type="dxa" w:w="60"/>
              <w:left w:type="dxa" w:w="100"/>
              <w:bottom w:type="dxa" w:w="60"/>
              <w:right w:type="dxa" w:w="100"/>
            </w:tcMar>
          </w:tcPr>
          <w:p>
            <w:r>
              <w:t xml:space="preserve">FSM (Finite State Automaton)</w:t>
            </w:r>
          </w:p>
        </w:tc>
        <w:tc>
          <w:tcPr>
            <w:tcW w:type="dxa" w:w="6400"/>
            <w:tcMar>
              <w:top w:type="dxa" w:w="60"/>
              <w:left w:type="dxa" w:w="100"/>
              <w:bottom w:type="dxa" w:w="60"/>
              <w:right w:type="dxa" w:w="100"/>
            </w:tcMar>
          </w:tcPr>
          <w:p>
            <w:r>
              <w:t xml:space="preserve">The Theory-of-Computation structure that tracks whether a partially generated sequence is still in a valid state under the active grammar.</w:t>
            </w:r>
          </w:p>
        </w:tc>
      </w:tr>
      <w:tr>
        <w:tc>
          <w:tcPr>
            <w:tcW w:type="dxa" w:w="2600"/>
            <w:tcMar>
              <w:top w:type="dxa" w:w="60"/>
              <w:left w:type="dxa" w:w="100"/>
              <w:bottom w:type="dxa" w:w="60"/>
              <w:right w:type="dxa" w:w="100"/>
            </w:tcMar>
          </w:tcPr>
          <w:p>
            <w:r>
              <w:t xml:space="preserve">Lark format</w:t>
            </w:r>
          </w:p>
        </w:tc>
        <w:tc>
          <w:tcPr>
            <w:tcW w:type="dxa" w:w="6400"/>
            <w:tcMar>
              <w:top w:type="dxa" w:w="60"/>
              <w:left w:type="dxa" w:w="100"/>
              <w:bottom w:type="dxa" w:w="60"/>
              <w:right w:type="dxa" w:w="100"/>
            </w:tcMar>
          </w:tcPr>
          <w:p>
            <w:r>
              <w:t xml:space="preserve">The grammar notation Outlines uses to express CFGs (rules like start, expression, term, number).</w:t>
            </w:r>
          </w:p>
        </w:tc>
      </w:tr>
      <w:tr>
        <w:tc>
          <w:tcPr>
            <w:tcW w:type="dxa" w:w="2600"/>
            <w:tcMar>
              <w:top w:type="dxa" w:w="60"/>
              <w:left w:type="dxa" w:w="100"/>
              <w:bottom w:type="dxa" w:w="60"/>
              <w:right w:type="dxa" w:w="100"/>
            </w:tcMar>
          </w:tcPr>
          <w:p>
            <w:r>
              <w:t xml:space="preserve">VLM (Vision-Language Model)</w:t>
            </w:r>
          </w:p>
        </w:tc>
        <w:tc>
          <w:tcPr>
            <w:tcW w:type="dxa" w:w="6400"/>
            <w:tcMar>
              <w:top w:type="dxa" w:w="60"/>
              <w:left w:type="dxa" w:w="100"/>
              <w:bottom w:type="dxa" w:w="60"/>
              <w:right w:type="dxa" w:w="100"/>
            </w:tcMar>
          </w:tcPr>
          <w:p>
            <w:r>
              <w:t xml:space="preserve">A multimodal model capable of accepting image input directly, required for Outlines' vision-based structured extraction.</w:t>
            </w:r>
          </w:p>
        </w:tc>
      </w:tr>
      <w:tr>
        <w:tc>
          <w:tcPr>
            <w:tcW w:type="dxa" w:w="2600"/>
            <w:tcMar>
              <w:top w:type="dxa" w:w="60"/>
              <w:left w:type="dxa" w:w="100"/>
              <w:bottom w:type="dxa" w:w="60"/>
              <w:right w:type="dxa" w:w="100"/>
            </w:tcMar>
          </w:tcPr>
          <w:p>
            <w:r>
              <w:t xml:space="preserve">DSPy</w:t>
            </w:r>
          </w:p>
        </w:tc>
        <w:tc>
          <w:tcPr>
            <w:tcW w:type="dxa" w:w="6400"/>
            <w:tcMar>
              <w:top w:type="dxa" w:w="60"/>
              <w:left w:type="dxa" w:w="100"/>
              <w:bottom w:type="dxa" w:w="60"/>
              <w:right w:type="dxa" w:w="100"/>
            </w:tcMar>
          </w:tcPr>
          <w:p>
            <w:r>
              <w:t xml:space="preserve">"Declarative Self-improving Python" — a Stanford framework for writing typed Python programs in place of hand-written prompts.</w:t>
            </w:r>
          </w:p>
        </w:tc>
      </w:tr>
      <w:tr>
        <w:tc>
          <w:tcPr>
            <w:tcW w:type="dxa" w:w="2600"/>
            <w:tcMar>
              <w:top w:type="dxa" w:w="60"/>
              <w:left w:type="dxa" w:w="100"/>
              <w:bottom w:type="dxa" w:w="60"/>
              <w:right w:type="dxa" w:w="100"/>
            </w:tcMar>
          </w:tcPr>
          <w:p>
            <w:r>
              <w:t xml:space="preserve">Signature</w:t>
            </w:r>
          </w:p>
        </w:tc>
        <w:tc>
          <w:tcPr>
            <w:tcW w:type="dxa" w:w="6400"/>
            <w:tcMar>
              <w:top w:type="dxa" w:w="60"/>
              <w:left w:type="dxa" w:w="100"/>
              <w:bottom w:type="dxa" w:w="60"/>
              <w:right w:type="dxa" w:w="100"/>
            </w:tcMar>
          </w:tcPr>
          <w:p>
            <w:r>
              <w:t xml:space="preserve">DSPy's typed task contract: a one-line task description (docstring) plus typed input and output fields; no persona or tone instructions.</w:t>
            </w:r>
          </w:p>
        </w:tc>
      </w:tr>
      <w:tr>
        <w:tc>
          <w:tcPr>
            <w:tcW w:type="dxa" w:w="2600"/>
            <w:tcMar>
              <w:top w:type="dxa" w:w="60"/>
              <w:left w:type="dxa" w:w="100"/>
              <w:bottom w:type="dxa" w:w="60"/>
              <w:right w:type="dxa" w:w="100"/>
            </w:tcMar>
          </w:tcPr>
          <w:p>
            <w:r>
              <w:t xml:space="preserve">Module</w:t>
            </w:r>
          </w:p>
        </w:tc>
        <w:tc>
          <w:tcPr>
            <w:tcW w:type="dxa" w:w="6400"/>
            <w:tcMar>
              <w:top w:type="dxa" w:w="60"/>
              <w:left w:type="dxa" w:w="100"/>
              <w:bottom w:type="dxa" w:w="60"/>
              <w:right w:type="dxa" w:w="100"/>
            </w:tcMar>
          </w:tcPr>
          <w:p>
            <w:r>
              <w:t xml:space="preserve">The DSPy component that executes a signature as an actual LLM call; different modules add different behavior (reasoning, code execution, etc.) on top of the same signature.</w:t>
            </w:r>
          </w:p>
        </w:tc>
      </w:tr>
      <w:tr>
        <w:tc>
          <w:tcPr>
            <w:tcW w:type="dxa" w:w="2600"/>
            <w:tcMar>
              <w:top w:type="dxa" w:w="60"/>
              <w:left w:type="dxa" w:w="100"/>
              <w:bottom w:type="dxa" w:w="60"/>
              <w:right w:type="dxa" w:w="100"/>
            </w:tcMar>
          </w:tcPr>
          <w:p>
            <w:r>
              <w:t xml:space="preserve">Predict</w:t>
            </w:r>
          </w:p>
        </w:tc>
        <w:tc>
          <w:tcPr>
            <w:tcW w:type="dxa" w:w="6400"/>
            <w:tcMar>
              <w:top w:type="dxa" w:w="60"/>
              <w:left w:type="dxa" w:w="100"/>
              <w:bottom w:type="dxa" w:w="60"/>
              <w:right w:type="dxa" w:w="100"/>
            </w:tcMar>
          </w:tcPr>
          <w:p>
            <w:r>
              <w:t xml:space="preserve">The baseline DSPy module: a direct LLM call from a signature, with no reasoning or code execution.</w:t>
            </w:r>
          </w:p>
        </w:tc>
      </w:tr>
      <w:tr>
        <w:tc>
          <w:tcPr>
            <w:tcW w:type="dxa" w:w="2600"/>
            <w:tcMar>
              <w:top w:type="dxa" w:w="60"/>
              <w:left w:type="dxa" w:w="100"/>
              <w:bottom w:type="dxa" w:w="60"/>
              <w:right w:type="dxa" w:w="100"/>
            </w:tcMar>
          </w:tcPr>
          <w:p>
            <w:r>
              <w:t xml:space="preserve">ChainOfThought (COT)</w:t>
            </w:r>
          </w:p>
        </w:tc>
        <w:tc>
          <w:tcPr>
            <w:tcW w:type="dxa" w:w="6400"/>
            <w:tcMar>
              <w:top w:type="dxa" w:w="60"/>
              <w:left w:type="dxa" w:w="100"/>
              <w:bottom w:type="dxa" w:w="60"/>
              <w:right w:type="dxa" w:w="100"/>
            </w:tcMar>
          </w:tcPr>
          <w:p>
            <w:r>
              <w:t xml:space="preserve">A module that adds an explicit reasoning trace (result.reasoning) before the final answer; costs more tokens than Predict.</w:t>
            </w:r>
          </w:p>
        </w:tc>
      </w:tr>
      <w:tr>
        <w:tc>
          <w:tcPr>
            <w:tcW w:type="dxa" w:w="2600"/>
            <w:tcMar>
              <w:top w:type="dxa" w:w="60"/>
              <w:left w:type="dxa" w:w="100"/>
              <w:bottom w:type="dxa" w:w="60"/>
              <w:right w:type="dxa" w:w="100"/>
            </w:tcMar>
          </w:tcPr>
          <w:p>
            <w:r>
              <w:t xml:space="preserve">ProgramOfThought (POT)</w:t>
            </w:r>
          </w:p>
        </w:tc>
        <w:tc>
          <w:tcPr>
            <w:tcW w:type="dxa" w:w="6400"/>
            <w:tcMar>
              <w:top w:type="dxa" w:w="60"/>
              <w:left w:type="dxa" w:w="100"/>
              <w:bottom w:type="dxa" w:w="60"/>
              <w:right w:type="dxa" w:w="100"/>
            </w:tcMar>
          </w:tcPr>
          <w:p>
            <w:r>
              <w:t xml:space="preserve">A module where the LLM generates Python code, the code executes in a sandbox, and the result feeds back into the final answer; restricted to Python's standard library.</w:t>
            </w:r>
          </w:p>
        </w:tc>
      </w:tr>
      <w:tr>
        <w:tc>
          <w:tcPr>
            <w:tcW w:type="dxa" w:w="2600"/>
            <w:tcMar>
              <w:top w:type="dxa" w:w="60"/>
              <w:left w:type="dxa" w:w="100"/>
              <w:bottom w:type="dxa" w:w="60"/>
              <w:right w:type="dxa" w:w="100"/>
            </w:tcMar>
          </w:tcPr>
          <w:p>
            <w:r>
              <w:t xml:space="preserve">CodeAct</w:t>
            </w:r>
          </w:p>
        </w:tc>
        <w:tc>
          <w:tcPr>
            <w:tcW w:type="dxa" w:w="6400"/>
            <w:tcMar>
              <w:top w:type="dxa" w:w="60"/>
              <w:left w:type="dxa" w:w="100"/>
              <w:bottom w:type="dxa" w:w="60"/>
              <w:right w:type="dxa" w:w="100"/>
            </w:tcMar>
          </w:tcPr>
          <w:p>
            <w:r>
              <w:t xml:space="preserve">An older code-generation-plus-execution module, deprecated starting DSPy 3.5 in favor of RLM.</w:t>
            </w:r>
          </w:p>
        </w:tc>
      </w:tr>
      <w:tr>
        <w:tc>
          <w:tcPr>
            <w:tcW w:type="dxa" w:w="2600"/>
            <w:tcMar>
              <w:top w:type="dxa" w:w="60"/>
              <w:left w:type="dxa" w:w="100"/>
              <w:bottom w:type="dxa" w:w="60"/>
              <w:right w:type="dxa" w:w="100"/>
            </w:tcMar>
          </w:tcPr>
          <w:p>
            <w:r>
              <w:t xml:space="preserve">RLM (Recursive Language Model)</w:t>
            </w:r>
          </w:p>
        </w:tc>
        <w:tc>
          <w:tcPr>
            <w:tcW w:type="dxa" w:w="6400"/>
            <w:tcMar>
              <w:top w:type="dxa" w:w="60"/>
              <w:left w:type="dxa" w:w="100"/>
              <w:bottom w:type="dxa" w:w="60"/>
              <w:right w:type="dxa" w:w="100"/>
            </w:tcMar>
          </w:tcPr>
          <w:p>
            <w:r>
              <w:t xml:space="preserve">A module/pattern for oversized data: load it into a Python variable and have the model incrementally query that variable instead of pasting the full data into the prompt.</w:t>
            </w:r>
          </w:p>
        </w:tc>
      </w:tr>
      <w:tr>
        <w:tc>
          <w:tcPr>
            <w:tcW w:type="dxa" w:w="2600"/>
            <w:tcMar>
              <w:top w:type="dxa" w:w="60"/>
              <w:left w:type="dxa" w:w="100"/>
              <w:bottom w:type="dxa" w:w="60"/>
              <w:right w:type="dxa" w:w="100"/>
            </w:tcMar>
          </w:tcPr>
          <w:p>
            <w:r>
              <w:t xml:space="preserve">Optimizer (formerly "teleprompter")</w:t>
            </w:r>
          </w:p>
        </w:tc>
        <w:tc>
          <w:tcPr>
            <w:tcW w:type="dxa" w:w="6400"/>
            <w:tcMar>
              <w:top w:type="dxa" w:w="60"/>
              <w:left w:type="dxa" w:w="100"/>
              <w:bottom w:type="dxa" w:w="60"/>
              <w:right w:type="dxa" w:w="100"/>
            </w:tcMar>
          </w:tcPr>
          <w:p>
            <w:r>
              <w:t xml:space="preserve">DSPy's mechanism for automatically tuning a signature's prompt wording and/or few-shot examples (e.g. MIPROv2, BootstrapFewShot, GEPA).</w:t>
            </w:r>
          </w:p>
        </w:tc>
      </w:tr>
      <w:tr>
        <w:tc>
          <w:tcPr>
            <w:tcW w:type="dxa" w:w="2600"/>
            <w:tcMar>
              <w:top w:type="dxa" w:w="60"/>
              <w:left w:type="dxa" w:w="100"/>
              <w:bottom w:type="dxa" w:w="60"/>
              <w:right w:type="dxa" w:w="100"/>
            </w:tcMar>
          </w:tcPr>
          <w:p>
            <w:r>
              <w:t xml:space="preserve">LiteLLM</w:t>
            </w:r>
          </w:p>
        </w:tc>
        <w:tc>
          <w:tcPr>
            <w:tcW w:type="dxa" w:w="6400"/>
            <w:tcMar>
              <w:top w:type="dxa" w:w="60"/>
              <w:left w:type="dxa" w:w="100"/>
              <w:bottom w:type="dxa" w:w="60"/>
              <w:right w:type="dxa" w:w="100"/>
            </w:tcMar>
          </w:tcPr>
          <w:p>
            <w:r>
              <w:t xml:space="preserve">The AI gateway package DSPy uses by default to route calls to any supported LLM provider.</w:t>
            </w:r>
          </w:p>
        </w:tc>
      </w:tr>
      <w:tr>
        <w:tc>
          <w:tcPr>
            <w:tcW w:type="dxa" w:w="2600"/>
            <w:tcMar>
              <w:top w:type="dxa" w:w="60"/>
              <w:left w:type="dxa" w:w="100"/>
              <w:bottom w:type="dxa" w:w="60"/>
              <w:right w:type="dxa" w:w="100"/>
            </w:tcMar>
          </w:tcPr>
          <w:p>
            <w:r>
              <w:t xml:space="preserve">Context Rot</w:t>
            </w:r>
          </w:p>
        </w:tc>
        <w:tc>
          <w:tcPr>
            <w:tcW w:type="dxa" w:w="6400"/>
            <w:tcMar>
              <w:top w:type="dxa" w:w="60"/>
              <w:left w:type="dxa" w:w="100"/>
              <w:bottom w:type="dxa" w:w="60"/>
              <w:right w:type="dxa" w:w="100"/>
            </w:tcMar>
          </w:tcPr>
          <w:p>
            <w:r>
              <w:t xml:space="preserve">A 2025 research finding describing how LLM performance degrades as more (often irrelevant) content is stuffed into a long context window — part of the motivation behind RLM.</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spacing w:after="80" w:before="200"/>
      </w:pPr>
      <w:r>
        <w:rPr>
          <w:b/>
          <w:bCs/>
          <w:color w:val="8B2E2E"/>
        </w:rPr>
        <w:t xml:space="preserve">Q: Why can't CFG-constrained decoding (token-level masking) be used with hosted APIs like OpenAI or Gemini?</w:t>
      </w:r>
    </w:p>
    <w:p>
      <w:pPr>
        <w:spacing w:after="120" w:line="300"/>
      </w:pPr>
      <w:r>
        <w:t xml:space="preserve">A: Because it requires directly intervening in the model's own decoding step — deciding, before sampling, which tokens are even allowed to appear. No proprietary API exposes that level of internal access, partly as a deliberate security boundary: letting an external caller rewrite a hosted model's generation process isn't something any provider will allow. This is only possible with a model loaded and run locally, or through a self-hosted inference server.</w:t>
      </w:r>
    </w:p>
    <w:p>
      <w:pPr>
        <w:spacing w:after="80" w:before="200"/>
      </w:pPr>
      <w:r>
        <w:rPr>
          <w:b/>
          <w:bCs/>
          <w:color w:val="8B2E2E"/>
        </w:rPr>
        <w:t xml:space="preserve">Q: How is "character misalignment" handled during constrained generation, if the model tries to produce something that doesn't fit the grammar?</w:t>
      </w:r>
    </w:p>
    <w:p>
      <w:pPr>
        <w:spacing w:after="120" w:line="300"/>
      </w:pPr>
      <w:r>
        <w:t xml:space="preserve">A: There's no special handling or post-hoc reconciliation — it's a strict block-and-regenerate mechanism at the token level. Whatever doesn't fit the grammar's current set of valid next tokens simply never gets emitted in the first place, so generation keeps retrying until the sequence lands in a valid state; there's nothing left over to fix afterward.</w:t>
      </w:r>
    </w:p>
    <w:p>
      <w:pPr>
        <w:spacing w:after="80" w:before="200"/>
      </w:pPr>
      <w:r>
        <w:rPr>
          <w:b/>
          <w:bCs/>
          <w:color w:val="8B2E2E"/>
        </w:rPr>
        <w:t xml:space="preserve">Q: In ProgramOfThought, what actually happens if the generated code needs a library that isn't installed — for example, pandas to read a CSV file?</w:t>
      </w:r>
    </w:p>
    <w:p>
      <w:pPr>
        <w:spacing w:after="120" w:line="300"/>
      </w:pPr>
      <w:r>
        <w:t xml:space="preserve">A: The code fails with a module-not-found error, and the model automatically regenerates its approach rather than stopping. It keeps retrying with progressively lower-level solutions — moving from a library like pandas, to a lighter one like Polars, down to Python's built-in csv module or plain file reads — because the sandbox has no way to install new packages, so a working solution has to live entirely within the standard library.</w:t>
      </w:r>
    </w:p>
    <w:p>
      <w:pPr>
        <w:spacing w:after="80" w:before="200"/>
      </w:pPr>
      <w:r>
        <w:rPr>
          <w:b/>
          <w:bCs/>
          <w:color w:val="8B2E2E"/>
        </w:rPr>
        <w:t xml:space="preserve">Q: Is DSPy meant to replace agentic frameworks like LangChain or LangGraph?</w:t>
      </w:r>
    </w:p>
    <w:p>
      <w:pPr>
        <w:spacing w:after="120" w:line="300"/>
      </w:pPr>
      <w:r>
        <w:t xml:space="preserve">A: No — DSPy is not an agentic framework at all; it has no built-in concept of agent loops or tool orchestration. What it replaces is the hand-written prompt string that frameworks like LangChain and LangGraph still rely on internally for every LLM call, so DSPy is a complement to those frameworks, not a competitor to them.</w:t>
      </w:r>
    </w:p>
    <w:p>
      <w:pPr>
        <w:spacing w:after="80" w:before="200"/>
      </w:pPr>
      <w:r>
        <w:rPr>
          <w:b/>
          <w:bCs/>
          <w:color w:val="8B2E2E"/>
        </w:rPr>
        <w:t xml:space="preserve">Q: How is calling a DSPy module like Predict or ChainOfThought different from calling .fit() or .predict() on a classical ML model, like XGBoost?</w:t>
      </w:r>
    </w:p>
    <w:p>
      <w:pPr>
        <w:spacing w:after="120" w:line="300"/>
      </w:pPr>
      <w:r>
        <w:t xml:space="preserve">A: They're unrelated concepts being compared by surface-level naming alone. Classical ML's fit/predict cycle involves training a model on tabular data and then running inference on it; DSPy modules have no training step at all — they only control how a single generative LLM call gets executed. Comparing them conflates two different paradigms (classical machine learning versus generative AI).</w:t>
      </w:r>
    </w:p>
    <w:p>
      <w:pPr>
        <w:spacing w:after="80" w:before="200"/>
      </w:pPr>
      <w:r>
        <w:rPr>
          <w:b/>
          <w:bCs/>
          <w:color w:val="8B2E2E"/>
        </w:rPr>
        <w:t xml:space="preserve">Q: What does migrating a large, existing prompt-based codebase over to DSPy actually involve in practice?</w:t>
      </w:r>
    </w:p>
    <w:p>
      <w:pPr>
        <w:spacing w:after="120" w:line="300"/>
      </w:pPr>
      <w:r>
        <w:t xml:space="preserve">A: Each existing prompt gets converted into its own signature, then validated against an internal test harness of roughly 50 to 100 sample input/expected-output pairs before being switched over — repeated one prompt at a time. For a codebase with thousands of production prompts, this is explicitly a large, incremental undertaking, not something done in a single pass.</w:t>
      </w:r>
    </w:p>
    <w:p>
      <w:pPr>
        <w:spacing w:after="80" w:before="200"/>
      </w:pPr>
      <w:r>
        <w:rPr>
          <w:b/>
          <w:bCs/>
          <w:color w:val="8B2E2E"/>
        </w:rPr>
        <w:t xml:space="preserve">Q: DSPy already routes every call through LiteLLM by default — does that conflict with an organization's own custom model-routing gateway?</w:t>
      </w:r>
    </w:p>
    <w:p>
      <w:pPr>
        <w:spacing w:after="120" w:line="300"/>
      </w:pPr>
      <w:r>
        <w:t xml:space="preserve">A: No, they address different concerns. A routing gateway decides which model or tier a given query should go to; DSPy's signatures and modules run the actual call once that routing decision has already been made. The two are combined by pointing DSPy's call path at the custom router instead of its default LiteLLM path, rather than treating them as competing systems.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2026-10-06T17:17:40.705Z</dcterms:created>
  <dcterms:modified xsi:type="dcterms:W3CDTF">2026-10-06T17:17:40.713Z</dcterms:modified>
</cp:coreProperties>
</file>

<file path=docProps/custom.xml><?xml version="1.0" encoding="utf-8"?>
<Properties xmlns="http://schemas.openxmlformats.org/officeDocument/2006/custom-properties" xmlns:vt="http://schemas.openxmlformats.org/officeDocument/2006/docPropsVTypes"/>
</file>