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B2E2E"/>
          <w:sz w:val="48"/>
          <w:szCs w:val="48"/>
        </w:rPr>
        <w:t xml:space="preserve">Tokenization 101</w:t>
      </w:r>
    </w:p>
    <w:p>
      <w:pPr>
        <w:spacing w:after="60"/>
      </w:pPr>
      <w:r>
        <w:rPr>
          <w:i/>
          <w:iCs/>
          <w:color w:val="555555"/>
          <w:sz w:val="26"/>
          <w:szCs w:val="26"/>
        </w:rPr>
        <w:t xml:space="preserve">Self-study notes — 5 September 2026 (Part 3, Practical)</w:t>
      </w:r>
    </w:p>
    <w:p>
      <w:pPr>
        <w:spacing w:after="400"/>
      </w:pPr>
      <w:r>
        <w:rPr>
          <w:color w:val="555555"/>
          <w:sz w:val="22"/>
          <w:szCs w:val="22"/>
        </w:rPr>
        <w:t xml:space="preserve">Evaluating tokenizers, building a domain-specific one from real data, and choosing a vocabulary size.</w:t>
      </w:r>
    </w:p>
    <w:p>
      <w:pPr>
        <w:pStyle w:val="Heading1"/>
        <w:spacing w:after="160" w:before="320"/>
      </w:pPr>
      <w:r>
        <w:t xml:space="preserve">1. Why General-Purpose Tokenizers Fail on Specialized Data</w:t>
      </w:r>
    </w:p>
    <w:p>
      <w:pPr>
        <w:spacing w:after="200" w:line="300"/>
      </w:pPr>
      <w:r>
        <w:t xml:space="preserve">This session was framed as pure experimentation rather than new theory: comparing a general-purpose tokenizer (GPT-2) against a domain-specific one (Microsoft's BioGPT) on real medical text, to see the failure mode directly rather than just being told it exists. Running a real clinical sentence through GPT-2's tokenizer showed the problem immediately — ordinary words like "the," "patient," and "was" stayed intact, but real medical terms fractured badly: "amoxicillin" and "clavulanate" both split into several fragments, and even a fairly ordinary clinical term like "echocardiography" got broken up unnecessarily. Feeding the same sentence through BioGPT's tokenizer kept these same terms far more intact, since BioGPT's vocabulary was actually built from medical text in the first place.</w:t>
      </w:r>
    </w:p>
    <w:p>
      <w:pPr>
        <w:spacing w:after="200" w:line="300"/>
      </w:pPr>
      <w:r>
        <w:t xml:space="preserve">The same demonstration repeated with encoder-style models (BERT vs. two different medical variants) surfaced a sharper, easy-to-miss point: not every "medical" tokenizer performs well on every piece of medical text. A tokenizer trained on clinical notes (BioClinicalBERT) performed poorly on PubMed research abstracts, while a tokenizer trained specifically on PubMed abstracts (PubMedBERT, from Microsoft) handled the same PubMed text well. A domain label alone ("medical") doesn't guarantee a good fit — what actually matters is whether the tokenizer's own training data matches the specific kind of text you're feeding it.</w:t>
      </w:r>
    </w:p>
    <w:p>
      <w:pPr>
        <w:pStyle w:val="Heading1"/>
        <w:spacing w:after="160" w:before="320"/>
      </w:pPr>
      <w:r>
        <w:t xml:space="preserve">2. Three Metrics for Judging a Tokenizer</w:t>
      </w:r>
    </w:p>
    <w:p>
      <w:pPr>
        <w:pBdr>
          <w:left w:val="single" w:color="8B2E2E" w:sz="24" w:space="8"/>
        </w:pBdr>
        <w:shd w:fill="FBEEE6" w:val="clear"/>
        <w:spacing w:after="60" w:before="160"/>
        <w:ind w:left="100"/>
      </w:pPr>
      <w:r>
        <w:rPr>
          <w:b/>
          <w:bCs/>
          <w:color w:val="8B2E2E"/>
        </w:rPr>
        <w:t xml:space="preserve">⭑ Important — fertility, the top-priority metric</w:t>
      </w:r>
    </w:p>
    <w:p>
      <w:pPr>
        <w:pBdr>
          <w:left w:val="single" w:color="8B2E2E" w:sz="24" w:space="8"/>
        </w:pBdr>
        <w:shd w:fill="FBEEE6" w:val="clear"/>
        <w:spacing w:after="60" w:before="0"/>
        <w:ind w:left="100"/>
      </w:pPr>
      <w:r>
        <w:t xml:space="preserve">Fertility is the average number of tokens a single word gets split into — literally, average token splits per word. A word that stays whole has a fertility contribution of 1; a word split into three pieces contributes 3 to that average. Lower fertility is always better: it means the tokenizer is treating more of the text as recognizable, intact (or near-intact) units rather than fragmenting it. Rare words naturally push fertility up, since a tokenizer's vocabulary reflects what it saw often during training — common words stay whole, rare or unfamiliar ones get chopped into smaller, more generic pieces.</w:t>
      </w:r>
    </w:p>
    <w:p>
      <w:pPr>
        <w:pBdr>
          <w:left w:val="single" w:color="8B2E2E" w:sz="24" w:space="8"/>
        </w:pBdr>
        <w:shd w:fill="FBEEE6" w:val="clear"/>
        <w:spacing w:after="220" w:before="0"/>
        <w:ind w:left="100"/>
      </w:pPr>
      <w:r>
        <w:t xml:space="preserve">In practice, a realistic fertility score computed across a whole corpus lands somewhere between roughly 1 and 2 — never exactly 1, since some genuine splitting is inherent to subword tokenization by design. There's no single "ideal" fertility number that applies everywhere; the right way to use it is comparatively, checking which tokenizer scores lower on your specific data, not chasing an absolute target.</w:t>
      </w:r>
    </w:p>
    <w:p>
      <w:pPr>
        <w:spacing w:after="200" w:line="300"/>
      </w:pPr>
      <w:r>
        <w:t xml:space="preserve">Tokens per N characters (100 or 1,000, depending on preference) is a second, complementary metric: the average number of tokens generated for a fixed stretch of raw text. The logic mirrors fertility — fewer tokens for the same amount of text means the tokenizer is using each token more efficiently, so lower is better here too. It's useful alongside fertility because it's sensitive to a slightly different failure mode (overall token bloat across a passage, not just how individual words get split).</w:t>
      </w:r>
    </w:p>
    <w:p>
      <w:pPr>
        <w:spacing w:after="200" w:line="300"/>
      </w:pPr>
      <w:r>
        <w:t xml:space="preserve">A third, more direct metric worth adding to the toolkit: single-token rate — specifically, what fraction of a target list of domain terms (the specific vocabulary you actually care about) survive tokenization as exactly one token, with zero splitting. Higher is better here, and this metric is particularly useful because it's honest and concrete: it doesn't average away failures the way fertility can, and it lets you check performance on the exact terms that matter most for your use case (an ICD-10 code list, a set of drug names, and so on) rather than the corpus as a whole.</w:t>
      </w:r>
    </w:p>
    <w:p>
      <w:pPr>
        <w:pStyle w:val="Heading1"/>
        <w:spacing w:after="160" w:before="320"/>
      </w:pPr>
      <w:r>
        <w:t xml:space="preserve">3. Building a Domain Tokenizer from Real Data</w:t>
      </w:r>
    </w:p>
    <w:p>
      <w:pPr>
        <w:spacing w:after="200" w:line="300"/>
      </w:pPr>
      <w:r>
        <w:t xml:space="preserve">The hands-on build reused the same BPE mechanics from previous sessions — count pair frequencies, merge the winner, repeat — applied this time to a real, downloaded corpus (PubMed abstracts, split into 45,000 training samples and 5,000 held out for evaluation) rather than a toy example. Nothing about the underlying algorithm changed; only the scale and realism of the input data did.</w:t>
      </w:r>
    </w:p>
    <w:p>
      <w:pPr>
        <w:pBdr>
          <w:left w:val="single" w:color="8B2E2E" w:sz="24" w:space="8"/>
        </w:pBdr>
        <w:shd w:fill="FBEEE6" w:val="clear"/>
        <w:spacing w:after="60" w:before="160"/>
        <w:ind w:left="100"/>
      </w:pPr>
      <w:r>
        <w:rPr>
          <w:b/>
          <w:bCs/>
          <w:color w:val="8B2E2E"/>
        </w:rPr>
        <w:t xml:space="preserve">⭑ Important — requested vs. actual vocabulary size</w:t>
      </w:r>
    </w:p>
    <w:p>
      <w:pPr>
        <w:pBdr>
          <w:left w:val="single" w:color="8B2E2E" w:sz="24" w:space="8"/>
        </w:pBdr>
        <w:shd w:fill="FBEEE6" w:val="clear"/>
        <w:spacing w:after="220" w:before="0"/>
        <w:ind w:left="100"/>
      </w:pPr>
      <w:r>
        <w:t xml:space="preserve">When training a tokenizer, you request a target vocabulary size, but the actual size you end up with can come out smaller if the corpus doesn't contain enough genuinely distinct content to fill it. The clean analogy: requested is your shopping list, actual is what the store genuinely has in stock. With a small or narrow corpus, requesting 50,000 tokens doesn't guarantee you'll get 50,000 meaningfully distinct pieces back — the tokenizer can only build out of what the data actually contains. With a large enough training corpus, requested and actual converge to the same number, which is exactly what happened in this session's PubMed-scale runs.</w:t>
      </w:r>
    </w:p>
    <w:p>
      <w:pPr>
        <w:spacing w:after="200" w:line="300"/>
      </w:pPr>
      <w:r>
        <w:t xml:space="preserve">One methodological point worth carrying forward: a handful of quick manual examples (informally called "probes" in class — spot-checking a few sentences by eye) are useful for a fast sanity check, but they're not a substitute for evaluating on a proper held-out set. In this session, the small informal probes and the full 5,000-document held-out evaluation told genuinely different stories at points — the held-out set is the one that actually reflects real performance, since it wasn't used to train the tokenizer.</w:t>
      </w:r>
    </w:p>
    <w:p>
      <w:pPr>
        <w:pStyle w:val="Heading1"/>
        <w:spacing w:after="160" w:before="320"/>
      </w:pPr>
      <w:r>
        <w:t xml:space="preserve">4. Choosing a Vocabulary Size: The Cost Trade-off and the "Knee" Rule</w:t>
      </w:r>
    </w:p>
    <w:p>
      <w:pPr>
        <w:spacing w:after="200" w:line="300"/>
      </w:pPr>
      <w:r>
        <w:t xml:space="preserve">The obvious-sounding assumption — bigger vocabulary is always better — is wrong, and this session built the counter-argument directly. A larger vocabulary size directly and proportionally increases the size of the model's embedding table, since that table's parameter count is vocabulary size multiplied by the embedding dimension. A demonstrated jump from roughly 16,000 to 100,000 vocabulary entries meant a roughly 6x increase in embedding parameters alone — more memory used, more compute required, and slower training, entirely independent of whether the resulting tokenization is actually meaningfully better. "Cost" here means compute and memory, not a literal dollar figure, though more compute does translate to more money in practice.</w:t>
      </w:r>
    </w:p>
    <w:p>
      <w:pPr>
        <w:pBdr>
          <w:left w:val="single" w:color="8B2E2E" w:sz="24" w:space="8"/>
        </w:pBdr>
        <w:shd w:fill="FBEEE6" w:val="clear"/>
        <w:spacing w:after="60" w:before="160"/>
        <w:ind w:left="100"/>
      </w:pPr>
      <w:r>
        <w:rPr>
          <w:b/>
          <w:bCs/>
          <w:color w:val="8B2E2E"/>
        </w:rPr>
        <w:t xml:space="preserve">⭑ Important — the systematic experiment and the "knee" decision rule</w:t>
      </w:r>
    </w:p>
    <w:p>
      <w:pPr>
        <w:pBdr>
          <w:left w:val="single" w:color="8B2E2E" w:sz="24" w:space="8"/>
        </w:pBdr>
        <w:shd w:fill="FBEEE6" w:val="clear"/>
        <w:spacing w:after="60" w:before="0"/>
        <w:ind w:left="100"/>
      </w:pPr>
      <w:r>
        <w:t xml:space="preserve">The experiment: train tokenizers at several vocabulary sizes (16K, 32K, 50K, 64K, 100K) on the identical corpus, changing nothing else, and track the average tokens per document at each size. The pattern that emerged was diminishing returns — the jump from 16K to 32K produced the largest single improvement (roughly 6% fewer average tokens per document), while each further increase (32K→50K, 50K→64K, 64K→100K) bought progressively smaller gains, down to under 1% in the later steps.</w:t>
      </w:r>
    </w:p>
    <w:p>
      <w:pPr>
        <w:pBdr>
          <w:left w:val="single" w:color="8B2E2E" w:sz="24" w:space="8"/>
        </w:pBdr>
        <w:shd w:fill="FBEEE6" w:val="clear"/>
        <w:spacing w:after="60" w:before="0"/>
        <w:ind w:left="100"/>
      </w:pPr>
      <w:r>
        <w:t xml:space="preserve">The decision rule used to pick a final number: take the best (lowest average-tokens) result across every vocabulary size tested as the global best, compute 2% of that value as a threshold band, and then pick the smallest vocabulary size whose result still falls within that 2% band of the best. This is the "knee" of the curve — the point where you've captured almost all of the available improvement without paying for vocabulary sizes that add cost without meaningfully better tokenization. In this session's specific data, that worked out to somewhere in the 50K–64K range, rejecting both the smaller (16K, 32K, clearly worse) and the larger (100K, needlessly expensive for the marginal gain) options.</w:t>
      </w:r>
    </w:p>
    <w:p>
      <w:pPr>
        <w:pBdr>
          <w:left w:val="single" w:color="8B2E2E" w:sz="24" w:space="8"/>
        </w:pBdr>
        <w:shd w:fill="FBEEE6" w:val="clear"/>
        <w:spacing w:after="220" w:before="0"/>
        <w:ind w:left="100"/>
      </w:pPr>
      <w:r>
        <w:t xml:space="preserve">There is no universal formula that hands you the right vocabulary size directly — this kind of sweep-and-compare experiment, run fresh on your own corpus, is the actual method. A different dataset will produce a different knee point, every time.</w:t>
      </w:r>
    </w:p>
    <w:p>
      <w:pPr>
        <w:spacing w:after="200" w:line="300"/>
      </w:pPr>
      <w:r>
        <w:t xml:space="preserve">This also directly answers the "why not just make the vocabulary huge" instinct: pushing vocabulary size up doesn't fail outright, but it stops paying for itself well past a certain point, while its cost (embedding table size, training time) keeps climbing linearly the whole way. More available compute doesn't make an oversized vocabulary free — it just means you can afford to pay that ongoing cost, not that the cost has disappeared.</w:t>
      </w:r>
    </w:p>
    <w:p>
      <w:pPr>
        <w:pStyle w:val="Heading1"/>
        <w:spacing w:after="160" w:before="320"/>
      </w:pPr>
      <w:r>
        <w:t xml:space="preserve">5. Tokenizer and Language Model Remain Two Separate Entities</w:t>
      </w:r>
    </w:p>
    <w:p>
      <w:pPr>
        <w:spacing w:after="200" w:line="300"/>
      </w:pPr>
      <w:r>
        <w:t xml:space="preserve">A theme that came up repeatedly enough to be worth stating plainly: the tokenizer and the language model it feeds are two independent components, not one fused thing. A tokenizer's job is purely to let a language model "see" text at all, by converting it into numerical token IDs — nothing about the tokenizer's internal settings requires the language model's settings to match, and vice versa.</w:t>
      </w:r>
    </w:p>
    <w:p>
      <w:pPr>
        <w:spacing w:after="200" w:line="300"/>
      </w:pPr>
      <w:r>
        <w:t xml:space="preserve">The clearest concrete example from this session: a tokenizer's model_max_length field (the maximum sequence length it will report as supported) is just a configuration value — you can freely change it to any number without touching the tokenizer's actual vocabulary, merges, or behavior at all, because it's a property relevant to whichever language model eventually consumes the tokenizer's output, not to the tokenizer's own tokenization logic. The two only need to actually agree once you connect a specific tokenizer to a specific model for real use.</w:t>
      </w:r>
    </w:p>
    <w:p>
      <w:pPr>
        <w:spacing w:after="200" w:line="300"/>
      </w:pPr>
      <w:r>
        <w:t xml:space="preserve">This separation is also exactly why a custom tokenizer can't be used with a proprietary, closed API. Services like OpenAI's API always tokenize incoming text using their own fixed, internal scheme (tiktoken-based) — there's no mechanism to submit your own custom token IDs instead, since the model on the other end was trained against one specific vocabulary and would have no way to interpret different ones. Custom tokenizers are only usable with models you actually control end to end — meaning open-source or self-trained models, not closed commercial APIs.</w:t>
      </w:r>
    </w:p>
    <w:p>
      <w:pPr>
        <w:pStyle w:val="Heading1"/>
        <w:spacing w:after="160" w:before="320"/>
      </w:pPr>
      <w:r>
        <w:t xml:space="preserve">6. Closing Notes / What's Next</w:t>
      </w:r>
    </w:p>
    <w:p>
      <w:pPr>
        <w:spacing w:after="200" w:line="300"/>
      </w:pPr>
      <w:r>
        <w:t xml:space="preserve">Next session finishes the vocabulary-size decision framework, then walks through packaging the trained tokenizer into Hugging Face's standard format and publishing it. After that, the plan moves into Module 2 (prompt engineering — described as comparatively light material, likely a single session covering chain-of-thought and similar foundational techniques).</w:t>
      </w:r>
    </w:p>
    <w:p>
      <w:pPr>
        <w:spacing w:after="200" w:line="300"/>
      </w:pPr>
      <w:r>
        <w:t xml:space="preserve">Two papers were shared for further reading: one on tokenizer evaluation methodology (referred to in class as a genuinely influential paper on "how good is a tokenizer"), and one on compression-based evaluation — both relevant to formalizing the fertility/tokens-per-character/single-token-rate metrics covered here. A suggested exercise: increase the training sample count used in this session's scripts (from 50,000 up toward 100,000–200,000) and check whether fertility improves further — directly testing the diminishing-returns pattern from Section 4 against more data rather than a bigger vocabulary.</w:t>
      </w:r>
    </w:p>
    <w:p>
      <w:pPr>
        <w:pStyle w:val="Heading1"/>
        <w:spacing w:after="160" w:before="320"/>
      </w:pPr>
      <w:r>
        <w:t xml:space="preserve">Quick-Reference Glossary</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3200"/>
        <w:gridCol w:w="5800"/>
      </w:tblGrid>
      <w:tr>
        <w:trPr>
          <w:tblHeader/>
        </w:trPr>
        <w:tc>
          <w:tcPr>
            <w:tcW w:type="dxa" w:w="3200"/>
            <w:shd w:fill="EDE3DA" w:val="clear"/>
            <w:tcMar>
              <w:top w:type="dxa" w:w="80"/>
              <w:left w:type="dxa" w:w="100"/>
              <w:bottom w:type="dxa" w:w="80"/>
              <w:right w:type="dxa" w:w="100"/>
            </w:tcMar>
          </w:tcPr>
          <w:p>
            <w:r>
              <w:rPr>
                <w:b/>
                <w:bCs/>
              </w:rPr>
              <w:t xml:space="preserve">Term</w:t>
            </w:r>
          </w:p>
        </w:tc>
        <w:tc>
          <w:tcPr>
            <w:tcW w:type="dxa" w:w="5800"/>
            <w:shd w:fill="EDE3DA" w:val="clear"/>
            <w:tcMar>
              <w:top w:type="dxa" w:w="80"/>
              <w:left w:type="dxa" w:w="100"/>
              <w:bottom w:type="dxa" w:w="80"/>
              <w:right w:type="dxa" w:w="100"/>
            </w:tcMar>
          </w:tcPr>
          <w:p>
            <w:r>
              <w:rPr>
                <w:b/>
                <w:bCs/>
              </w:rPr>
              <w:t xml:space="preserve">Meaning</w:t>
            </w:r>
          </w:p>
        </w:tc>
      </w:tr>
      <w:tr>
        <w:tc>
          <w:tcPr>
            <w:tcW w:type="dxa" w:w="3200"/>
            <w:tcMar>
              <w:top w:type="dxa" w:w="60"/>
              <w:left w:type="dxa" w:w="100"/>
              <w:bottom w:type="dxa" w:w="60"/>
              <w:right w:type="dxa" w:w="100"/>
            </w:tcMar>
          </w:tcPr>
          <w:p>
            <w:r>
              <w:t xml:space="preserve">Fertility</w:t>
            </w:r>
          </w:p>
        </w:tc>
        <w:tc>
          <w:tcPr>
            <w:tcW w:type="dxa" w:w="5800"/>
            <w:tcMar>
              <w:top w:type="dxa" w:w="60"/>
              <w:left w:type="dxa" w:w="100"/>
              <w:bottom w:type="dxa" w:w="60"/>
              <w:right w:type="dxa" w:w="100"/>
            </w:tcMar>
          </w:tcPr>
          <w:p>
            <w:r>
              <w:t xml:space="preserve">Average number of tokens a word gets split into; lower is better; realistic corpus-level range is roughly 1–2.</w:t>
            </w:r>
          </w:p>
        </w:tc>
      </w:tr>
      <w:tr>
        <w:tc>
          <w:tcPr>
            <w:tcW w:type="dxa" w:w="3200"/>
            <w:tcMar>
              <w:top w:type="dxa" w:w="60"/>
              <w:left w:type="dxa" w:w="100"/>
              <w:bottom w:type="dxa" w:w="60"/>
              <w:right w:type="dxa" w:w="100"/>
            </w:tcMar>
          </w:tcPr>
          <w:p>
            <w:r>
              <w:t xml:space="preserve">Tokens per N characters</w:t>
            </w:r>
          </w:p>
        </w:tc>
        <w:tc>
          <w:tcPr>
            <w:tcW w:type="dxa" w:w="5800"/>
            <w:tcMar>
              <w:top w:type="dxa" w:w="60"/>
              <w:left w:type="dxa" w:w="100"/>
              <w:bottom w:type="dxa" w:w="60"/>
              <w:right w:type="dxa" w:w="100"/>
            </w:tcMar>
          </w:tcPr>
          <w:p>
            <w:r>
              <w:t xml:space="preserve">Average tokens generated per fixed stretch of raw text (e.g., per 100 or 1,000 characters); lower is better.</w:t>
            </w:r>
          </w:p>
        </w:tc>
      </w:tr>
      <w:tr>
        <w:tc>
          <w:tcPr>
            <w:tcW w:type="dxa" w:w="3200"/>
            <w:tcMar>
              <w:top w:type="dxa" w:w="60"/>
              <w:left w:type="dxa" w:w="100"/>
              <w:bottom w:type="dxa" w:w="60"/>
              <w:right w:type="dxa" w:w="100"/>
            </w:tcMar>
          </w:tcPr>
          <w:p>
            <w:r>
              <w:t xml:space="preserve">Single-token rate</w:t>
            </w:r>
          </w:p>
        </w:tc>
        <w:tc>
          <w:tcPr>
            <w:tcW w:type="dxa" w:w="5800"/>
            <w:tcMar>
              <w:top w:type="dxa" w:w="60"/>
              <w:left w:type="dxa" w:w="100"/>
              <w:bottom w:type="dxa" w:w="60"/>
              <w:right w:type="dxa" w:w="100"/>
            </w:tcMar>
          </w:tcPr>
          <w:p>
            <w:r>
              <w:t xml:space="preserve">Fraction of a target term list that survives tokenization as exactly one token; higher is better.</w:t>
            </w:r>
          </w:p>
        </w:tc>
      </w:tr>
      <w:tr>
        <w:tc>
          <w:tcPr>
            <w:tcW w:type="dxa" w:w="3200"/>
            <w:tcMar>
              <w:top w:type="dxa" w:w="60"/>
              <w:left w:type="dxa" w:w="100"/>
              <w:bottom w:type="dxa" w:w="60"/>
              <w:right w:type="dxa" w:w="100"/>
            </w:tcMar>
          </w:tcPr>
          <w:p>
            <w:r>
              <w:t xml:space="preserve">Held-out set</w:t>
            </w:r>
          </w:p>
        </w:tc>
        <w:tc>
          <w:tcPr>
            <w:tcW w:type="dxa" w:w="5800"/>
            <w:tcMar>
              <w:top w:type="dxa" w:w="60"/>
              <w:left w:type="dxa" w:w="100"/>
              <w:bottom w:type="dxa" w:w="60"/>
              <w:right w:type="dxa" w:w="100"/>
            </w:tcMar>
          </w:tcPr>
          <w:p>
            <w:r>
              <w:t xml:space="preserve">Data withheld from tokenizer training, used for honest evaluation; more reliable than quick manual spot-checks ("probes").</w:t>
            </w:r>
          </w:p>
        </w:tc>
      </w:tr>
      <w:tr>
        <w:tc>
          <w:tcPr>
            <w:tcW w:type="dxa" w:w="3200"/>
            <w:tcMar>
              <w:top w:type="dxa" w:w="60"/>
              <w:left w:type="dxa" w:w="100"/>
              <w:bottom w:type="dxa" w:w="60"/>
              <w:right w:type="dxa" w:w="100"/>
            </w:tcMar>
          </w:tcPr>
          <w:p>
            <w:r>
              <w:t xml:space="preserve">Requested vs. actual vocabulary size</w:t>
            </w:r>
          </w:p>
        </w:tc>
        <w:tc>
          <w:tcPr>
            <w:tcW w:type="dxa" w:w="5800"/>
            <w:tcMar>
              <w:top w:type="dxa" w:w="60"/>
              <w:left w:type="dxa" w:w="100"/>
              <w:bottom w:type="dxa" w:w="60"/>
              <w:right w:type="dxa" w:w="100"/>
            </w:tcMar>
          </w:tcPr>
          <w:p>
            <w:r>
              <w:t xml:space="preserve">The target size you ask for vs. the size actually achievable given how much distinct content the corpus contains.</w:t>
            </w:r>
          </w:p>
        </w:tc>
      </w:tr>
      <w:tr>
        <w:tc>
          <w:tcPr>
            <w:tcW w:type="dxa" w:w="3200"/>
            <w:tcMar>
              <w:top w:type="dxa" w:w="60"/>
              <w:left w:type="dxa" w:w="100"/>
              <w:bottom w:type="dxa" w:w="60"/>
              <w:right w:type="dxa" w:w="100"/>
            </w:tcMar>
          </w:tcPr>
          <w:p>
            <w:r>
              <w:t xml:space="preserve">Embedding table cost</w:t>
            </w:r>
          </w:p>
        </w:tc>
        <w:tc>
          <w:tcPr>
            <w:tcW w:type="dxa" w:w="5800"/>
            <w:tcMar>
              <w:top w:type="dxa" w:w="60"/>
              <w:left w:type="dxa" w:w="100"/>
              <w:bottom w:type="dxa" w:w="60"/>
              <w:right w:type="dxa" w:w="100"/>
            </w:tcMar>
          </w:tcPr>
          <w:p>
            <w:r>
              <w:t xml:space="preserve">Vocabulary size × embedding dimension = embedding parameter count; larger vocabularies directly increase memory and compute cost.</w:t>
            </w:r>
          </w:p>
        </w:tc>
      </w:tr>
      <w:tr>
        <w:tc>
          <w:tcPr>
            <w:tcW w:type="dxa" w:w="3200"/>
            <w:tcMar>
              <w:top w:type="dxa" w:w="60"/>
              <w:left w:type="dxa" w:w="100"/>
              <w:bottom w:type="dxa" w:w="60"/>
              <w:right w:type="dxa" w:w="100"/>
            </w:tcMar>
          </w:tcPr>
          <w:p>
            <w:r>
              <w:t xml:space="preserve">Knee (of the curve)</w:t>
            </w:r>
          </w:p>
        </w:tc>
        <w:tc>
          <w:tcPr>
            <w:tcW w:type="dxa" w:w="5800"/>
            <w:tcMar>
              <w:top w:type="dxa" w:w="60"/>
              <w:left w:type="dxa" w:w="100"/>
              <w:bottom w:type="dxa" w:w="60"/>
              <w:right w:type="dxa" w:w="100"/>
            </w:tcMar>
          </w:tcPr>
          <w:p>
            <w:r>
              <w:t xml:space="preserve">The smallest vocabulary size whose result falls within a set threshold (e.g., 2%) of the best result across all sizes tested.</w:t>
            </w:r>
          </w:p>
        </w:tc>
      </w:tr>
      <w:tr>
        <w:tc>
          <w:tcPr>
            <w:tcW w:type="dxa" w:w="3200"/>
            <w:tcMar>
              <w:top w:type="dxa" w:w="60"/>
              <w:left w:type="dxa" w:w="100"/>
              <w:bottom w:type="dxa" w:w="60"/>
              <w:right w:type="dxa" w:w="100"/>
            </w:tcMar>
          </w:tcPr>
          <w:p>
            <w:r>
              <w:t xml:space="preserve">model_max_length</w:t>
            </w:r>
          </w:p>
        </w:tc>
        <w:tc>
          <w:tcPr>
            <w:tcW w:type="dxa" w:w="5800"/>
            <w:tcMar>
              <w:top w:type="dxa" w:w="60"/>
              <w:left w:type="dxa" w:w="100"/>
              <w:bottom w:type="dxa" w:w="60"/>
              <w:right w:type="dxa" w:w="100"/>
            </w:tcMar>
          </w:tcPr>
          <w:p>
            <w:r>
              <w:t xml:space="preserve">A language-model-level configuration value (max sequence length); unrelated to a tokenizer's own vocabulary or merge rules.</w:t>
            </w:r>
          </w:p>
        </w:tc>
      </w:tr>
      <w:tr>
        <w:tc>
          <w:tcPr>
            <w:tcW w:type="dxa" w:w="3200"/>
            <w:tcMar>
              <w:top w:type="dxa" w:w="60"/>
              <w:left w:type="dxa" w:w="100"/>
              <w:bottom w:type="dxa" w:w="60"/>
              <w:right w:type="dxa" w:w="100"/>
            </w:tcMar>
          </w:tcPr>
          <w:p>
            <w:r>
              <w:t xml:space="preserve">Domain-specific tokenizer</w:t>
            </w:r>
          </w:p>
        </w:tc>
        <w:tc>
          <w:tcPr>
            <w:tcW w:type="dxa" w:w="5800"/>
            <w:tcMar>
              <w:top w:type="dxa" w:w="60"/>
              <w:left w:type="dxa" w:w="100"/>
              <w:bottom w:type="dxa" w:w="60"/>
              <w:right w:type="dxa" w:w="100"/>
            </w:tcMar>
          </w:tcPr>
          <w:p>
            <w:r>
              <w:t xml:space="preserve">A tokenizer trained on text from a specific field; only reliable on text resembling what it was actually trained on, not the domain label alone.</w:t>
            </w:r>
          </w:p>
        </w:tc>
      </w:tr>
    </w:tbl>
    <w:p>
      <w:pPr>
        <w:pStyle w:val="Heading1"/>
        <w:spacing w:after="160" w:before="320"/>
      </w:pPr>
      <w:r>
        <w:t xml:space="preserve">Common Points of Confusion: Class Q&amp;A</w:t>
      </w:r>
    </w:p>
    <w:p>
      <w:pPr>
        <w:spacing w:after="200" w:line="300"/>
      </w:pPr>
      <w:r>
        <w:t xml:space="preserve">These are the questions from class discussion that surfaced genuine points of confusion — the kind worth knowing cold, since if a classmate got tripped up here, an interviewer might expect you to untangle the same thing on the spot.</w:t>
      </w:r>
    </w:p>
    <w:p>
      <w:pPr>
        <w:spacing w:after="80" w:before="200"/>
      </w:pPr>
      <w:r>
        <w:rPr>
          <w:b/>
          <w:bCs/>
          <w:color w:val="8B2E2E"/>
        </w:rPr>
        <w:t xml:space="preserve">Q: Is it a valid strategy to take a cheaper, smaller base model and get good results just by training it well on your own domain data (including its tokenizer)?</w:t>
      </w:r>
    </w:p>
    <w:p>
      <w:pPr>
        <w:spacing w:after="120" w:line="300"/>
      </w:pPr>
      <w:r>
        <w:t xml:space="preserve">A: Yes — this was confirmed directly. A well-matched domain-specific tokenizer (and, later, domain-specific training) lets a smaller or cheaper base model perform competitively on your specific data, without needing to reach for a larger, more expensive general-purpose model. Fewer, more meaningful tokens per document also directly reduces processing cost, so a good domain tokenizer isn't just a quality improvement — it's a genuine cost lever too.</w:t>
      </w:r>
    </w:p>
    <w:p>
      <w:pPr>
        <w:spacing w:after="80" w:before="200"/>
      </w:pPr>
      <w:r>
        <w:rPr>
          <w:b/>
          <w:bCs/>
          <w:color w:val="8B2E2E"/>
        </w:rPr>
        <w:t xml:space="preserve">Q: If you train your own optimized tokenizer, can you use it together with a proprietary model accessed through an API key (like OpenAI's)?</w:t>
      </w:r>
    </w:p>
    <w:p>
      <w:pPr>
        <w:spacing w:after="120" w:line="300"/>
      </w:pPr>
      <w:r>
        <w:t xml:space="preserve">A: No. A proprietary API always tokenizes your input using its own fixed internal scheme — there's no way to submit your own custom token IDs instead, since the model on the other end was trained against one specific vocabulary and has no mechanism to interpret a different one. Custom tokenizers are only usable with models you control end to end — open-source or self-trained models — not closed commercial APIs.</w:t>
      </w:r>
    </w:p>
    <w:p>
      <w:pPr>
        <w:spacing w:after="80" w:before="200"/>
      </w:pPr>
      <w:r>
        <w:rPr>
          <w:b/>
          <w:bCs/>
          <w:color w:val="8B2E2E"/>
        </w:rPr>
        <w:t xml:space="preserve">Q: If compute and cost genuinely aren't a constraint, does it make sense to just always pick the largest possible vocabulary size?</w:t>
      </w:r>
    </w:p>
    <w:p>
      <w:pPr>
        <w:spacing w:after="120" w:line="300"/>
      </w:pPr>
      <w:r>
        <w:t xml:space="preserve">A: Not automatically — a bigger embedding table doesn't just cost more, it can also slow down how quickly the model learns, since there are simply more parameters to update. The right approach is still to test empirically: track metrics like the single-token rate across multiple vocabulary sizes on your actual data, and only commit to a larger vocabulary once the numbers genuinely support it. Unlimited compute removes the cost objection, but it doesn't remove the need to verify that a larger vocabulary is actually earning its keep on your specific dataset.</w:t>
      </w:r>
    </w:p>
    <w:p>
      <w:pPr>
        <w:spacing w:after="80" w:before="200"/>
      </w:pPr>
      <w:r>
        <w:rPr>
          <w:b/>
          <w:bCs/>
          <w:color w:val="8B2E2E"/>
        </w:rPr>
        <w:t xml:space="preserve">Q: Do you always need to go through this entire custom-tokenizer process to build a small language model or an SLM-based agent?</w:t>
      </w:r>
    </w:p>
    <w:p>
      <w:pPr>
        <w:spacing w:after="120" w:line="300"/>
      </w:pPr>
      <w:r>
        <w:t xml:space="preserve">A: No — only when the underlying data is genuinely domain-specific. If a task is general-purpose, the standard approach is simpler: pick a base model, use its tokenizer as-is, and proceed normally, with no custom tokenizer training required at all. This whole process — comparing tokenizers, training a custom one, tuning vocabulary size — is specifically for situations where the target data is specialized enough (medical, legal, a narrow technical field) that a general-purpose tokenizer would genuinely underperform on it.</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BBAE" w:sz="6" w:space="4"/>
      </w:pBdr>
      <w:spacing w:after="160" w:before="320"/>
    </w:pPr>
    <w:rPr>
      <w:rFonts w:ascii="Calibri" w:cs="Calibri" w:eastAsia="Calibri" w:hAnsi="Calibri"/>
      <w:b/>
      <w:bCs/>
      <w:color w:val="8B2E2E"/>
      <w:sz w:val="30"/>
      <w:szCs w:val="30"/>
    </w:rPr>
  </w:style>
  <w:style w:type="paragraph" w:styleId="Heading2">
    <w:name w:val="Heading 2"/>
    <w:basedOn w:val="Normal"/>
    <w:next w:val="Normal"/>
    <w:qFormat/>
    <w:pPr>
      <w:spacing w:after="120" w:before="240"/>
    </w:pPr>
    <w:rPr>
      <w:rFonts w:ascii="Calibri" w:cs="Calibri" w:eastAsia="Calibri" w:hAnsi="Calibri"/>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2026-09-07T17:22:23.307Z</dcterms:created>
  <dcterms:modified xsi:type="dcterms:W3CDTF">2026-09-07T17:22:23.319Z</dcterms:modified>
</cp:coreProperties>
</file>

<file path=docProps/custom.xml><?xml version="1.0" encoding="utf-8"?>
<Properties xmlns="http://schemas.openxmlformats.org/officeDocument/2006/custom-properties" xmlns:vt="http://schemas.openxmlformats.org/officeDocument/2006/docPropsVTypes"/>
</file>