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1 August 2026</w:t>
      </w:r>
    </w:p>
    <w:p>
      <w:pPr>
        <w:spacing w:after="400"/>
      </w:pPr>
      <w:r>
        <w:rPr>
          <w:color w:val="555555"/>
          <w:sz w:val="22"/>
          <w:szCs w:val="22"/>
        </w:rPr>
        <w:t xml:space="preserve">From word embeddings to self-attention, built up from first principles.</w:t>
      </w:r>
    </w:p>
    <w:p>
      <w:pPr>
        <w:pStyle w:val="Heading1"/>
        <w:spacing w:after="160" w:before="320"/>
      </w:pPr>
      <w:r>
        <w:t xml:space="preserve">1. From Discrete to Continuous: Why Modern Embeddings Exist</w:t>
      </w:r>
    </w:p>
    <w:p>
      <w:pPr>
        <w:spacing w:after="200" w:line="300"/>
      </w:pPr>
      <w:r>
        <w:rPr>
          <w:i w:val="false"/>
          <w:iCs w:val="false"/>
        </w:rPr>
        <w:t xml:space="preserve">Before you get to attention, you need to be clear on what an embedding actually is and why it has to be continuous. The classical toolbox for turning words into numbers includes one-hot encoding, bag-of-words, TF-IDF (and its successor BM25), n-gram-based counts, co-occurrence matrices, Word2Vec (in its CBOW and skip-gram variants), GloVe, FastText, and ELMo. You don't need to relearn all of these in depth, but you should be able to place each one on a rough timeline and know that they were all attempts to solve the same problem: turning a word into a number a machine can learn from.</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4200"/>
        <w:gridCol w:w="4800"/>
      </w:tblGrid>
      <w:tr>
        <w:trPr>
          <w:tblHeader/>
        </w:trPr>
        <w:tc>
          <w:tcPr>
            <w:tcW w:type="dxa" w:w="4200"/>
            <w:shd w:fill="EDE3DA" w:val="clear"/>
            <w:tcMar>
              <w:top w:type="dxa" w:w="80"/>
              <w:left w:type="dxa" w:w="100"/>
              <w:bottom w:type="dxa" w:w="80"/>
              <w:right w:type="dxa" w:w="100"/>
            </w:tcMar>
          </w:tcPr>
          <w:p>
            <w:r>
              <w:rPr>
                <w:b/>
                <w:bCs/>
              </w:rPr>
              <w:t xml:space="preserve">Technique</w:t>
            </w:r>
          </w:p>
        </w:tc>
        <w:tc>
          <w:tcPr>
            <w:tcW w:type="dxa" w:w="4800"/>
            <w:shd w:fill="EDE3DA" w:val="clear"/>
            <w:tcMar>
              <w:top w:type="dxa" w:w="80"/>
              <w:left w:type="dxa" w:w="100"/>
              <w:bottom w:type="dxa" w:w="80"/>
              <w:right w:type="dxa" w:w="100"/>
            </w:tcMar>
          </w:tcPr>
          <w:p>
            <w:r>
              <w:rPr>
                <w:b/>
                <w:bCs/>
              </w:rPr>
              <w:t xml:space="preserve">Era / notes</w:t>
            </w:r>
          </w:p>
        </w:tc>
      </w:tr>
      <w:tr>
        <w:tc>
          <w:tcPr>
            <w:tcW w:type="dxa" w:w="4200"/>
            <w:tcMar>
              <w:top w:type="dxa" w:w="60"/>
              <w:left w:type="dxa" w:w="100"/>
              <w:bottom w:type="dxa" w:w="60"/>
              <w:right w:type="dxa" w:w="100"/>
            </w:tcMar>
          </w:tcPr>
          <w:p>
            <w:r>
              <w:t xml:space="preserve">One-hot encoding (OHE)</w:t>
            </w:r>
          </w:p>
        </w:tc>
        <w:tc>
          <w:tcPr>
            <w:tcW w:type="dxa" w:w="4800"/>
            <w:tcMar>
              <w:top w:type="dxa" w:w="60"/>
              <w:left w:type="dxa" w:w="100"/>
              <w:bottom w:type="dxa" w:w="60"/>
              <w:right w:type="dxa" w:w="100"/>
            </w:tcMar>
          </w:tcPr>
          <w:p>
            <w:r>
              <w:t xml:space="preserve">Oldest, mostly obsolete for words. Still useful for target variables with a small number of classes.</w:t>
            </w:r>
          </w:p>
        </w:tc>
      </w:tr>
      <w:tr>
        <w:tc>
          <w:tcPr>
            <w:tcW w:type="dxa" w:w="4200"/>
            <w:tcMar>
              <w:top w:type="dxa" w:w="60"/>
              <w:left w:type="dxa" w:w="100"/>
              <w:bottom w:type="dxa" w:w="60"/>
              <w:right w:type="dxa" w:w="100"/>
            </w:tcMar>
          </w:tcPr>
          <w:p>
            <w:r>
              <w:t xml:space="preserve">Bag of words</w:t>
            </w:r>
          </w:p>
        </w:tc>
        <w:tc>
          <w:tcPr>
            <w:tcW w:type="dxa" w:w="4800"/>
            <w:tcMar>
              <w:top w:type="dxa" w:w="60"/>
              <w:left w:type="dxa" w:w="100"/>
              <w:bottom w:type="dxa" w:w="60"/>
              <w:right w:type="dxa" w:w="100"/>
            </w:tcMar>
          </w:tcPr>
          <w:p>
            <w:r>
              <w:t xml:space="preserve">Slightly better than OHE, still weak.</w:t>
            </w:r>
          </w:p>
        </w:tc>
      </w:tr>
      <w:tr>
        <w:tc>
          <w:tcPr>
            <w:tcW w:type="dxa" w:w="4200"/>
            <w:tcMar>
              <w:top w:type="dxa" w:w="60"/>
              <w:left w:type="dxa" w:w="100"/>
              <w:bottom w:type="dxa" w:w="60"/>
              <w:right w:type="dxa" w:w="100"/>
            </w:tcMar>
          </w:tcPr>
          <w:p>
            <w:r>
              <w:t xml:space="preserve">TF-IDF / BM25</w:t>
            </w:r>
          </w:p>
        </w:tc>
        <w:tc>
          <w:tcPr>
            <w:tcW w:type="dxa" w:w="4800"/>
            <w:tcMar>
              <w:top w:type="dxa" w:w="60"/>
              <w:left w:type="dxa" w:w="100"/>
              <w:bottom w:type="dxa" w:w="60"/>
              <w:right w:type="dxa" w:w="100"/>
            </w:tcMar>
          </w:tcPr>
          <w:p>
            <w:r>
              <w:t xml:space="preserve">Still genuinely useful today. BM25 is an upgraded TF-IDF, used in search/retrieval.</w:t>
            </w:r>
          </w:p>
        </w:tc>
      </w:tr>
      <w:tr>
        <w:tc>
          <w:tcPr>
            <w:tcW w:type="dxa" w:w="4200"/>
            <w:tcMar>
              <w:top w:type="dxa" w:w="60"/>
              <w:left w:type="dxa" w:w="100"/>
              <w:bottom w:type="dxa" w:w="60"/>
              <w:right w:type="dxa" w:w="100"/>
            </w:tcMar>
          </w:tcPr>
          <w:p>
            <w:r>
              <w:t xml:space="preserve">N-grams (unigram/bigram/trigram)</w:t>
            </w:r>
          </w:p>
        </w:tc>
        <w:tc>
          <w:tcPr>
            <w:tcW w:type="dxa" w:w="4800"/>
            <w:tcMar>
              <w:top w:type="dxa" w:w="60"/>
              <w:left w:type="dxa" w:w="100"/>
              <w:bottom w:type="dxa" w:w="60"/>
              <w:right w:type="dxa" w:w="100"/>
            </w:tcMar>
          </w:tcPr>
          <w:p>
            <w:r>
              <w:t xml:space="preserve">Counts based on short fixed windows of tokens.</w:t>
            </w:r>
          </w:p>
        </w:tc>
      </w:tr>
      <w:tr>
        <w:tc>
          <w:tcPr>
            <w:tcW w:type="dxa" w:w="4200"/>
            <w:tcMar>
              <w:top w:type="dxa" w:w="60"/>
              <w:left w:type="dxa" w:w="100"/>
              <w:bottom w:type="dxa" w:w="60"/>
              <w:right w:type="dxa" w:w="100"/>
            </w:tcMar>
          </w:tcPr>
          <w:p>
            <w:r>
              <w:t xml:space="preserve">Co-occurrence matrices</w:t>
            </w:r>
          </w:p>
        </w:tc>
        <w:tc>
          <w:tcPr>
            <w:tcW w:type="dxa" w:w="4800"/>
            <w:tcMar>
              <w:top w:type="dxa" w:w="60"/>
              <w:left w:type="dxa" w:w="100"/>
              <w:bottom w:type="dxa" w:w="60"/>
              <w:right w:type="dxa" w:w="100"/>
            </w:tcMar>
          </w:tcPr>
          <w:p>
            <w:r>
              <w:t xml:space="preserve">Basis for later dimensionality-reduction-based embeddings.</w:t>
            </w:r>
          </w:p>
        </w:tc>
      </w:tr>
      <w:tr>
        <w:tc>
          <w:tcPr>
            <w:tcW w:type="dxa" w:w="4200"/>
            <w:tcMar>
              <w:top w:type="dxa" w:w="60"/>
              <w:left w:type="dxa" w:w="100"/>
              <w:bottom w:type="dxa" w:w="60"/>
              <w:right w:type="dxa" w:w="100"/>
            </w:tcMar>
          </w:tcPr>
          <w:p>
            <w:r>
              <w:t xml:space="preserve">Word2Vec (CBOW / skip-gram)</w:t>
            </w:r>
          </w:p>
        </w:tc>
        <w:tc>
          <w:tcPr>
            <w:tcW w:type="dxa" w:w="4800"/>
            <w:tcMar>
              <w:top w:type="dxa" w:w="60"/>
              <w:left w:type="dxa" w:w="100"/>
              <w:bottom w:type="dxa" w:w="60"/>
              <w:right w:type="dxa" w:w="100"/>
            </w:tcMar>
          </w:tcPr>
          <w:p>
            <w:r>
              <w:t xml:space="preserve">First widely-used dense embeddings; the two variants are near-alternates of each other.</w:t>
            </w:r>
          </w:p>
        </w:tc>
      </w:tr>
      <w:tr>
        <w:tc>
          <w:tcPr>
            <w:tcW w:type="dxa" w:w="4200"/>
            <w:tcMar>
              <w:top w:type="dxa" w:w="60"/>
              <w:left w:type="dxa" w:w="100"/>
              <w:bottom w:type="dxa" w:w="60"/>
              <w:right w:type="dxa" w:w="100"/>
            </w:tcMar>
          </w:tcPr>
          <w:p>
            <w:r>
              <w:t xml:space="preserve">GloVe / FastText / ELMo</w:t>
            </w:r>
          </w:p>
        </w:tc>
        <w:tc>
          <w:tcPr>
            <w:tcW w:type="dxa" w:w="4800"/>
            <w:tcMar>
              <w:top w:type="dxa" w:w="60"/>
              <w:left w:type="dxa" w:w="100"/>
              <w:bottom w:type="dxa" w:w="60"/>
              <w:right w:type="dxa" w:w="100"/>
            </w:tcMar>
          </w:tcPr>
          <w:p>
            <w:r>
              <w:t xml:space="preserve">Improved dense embeddings; ELMo is the closest of these to the Transformer era.</w:t>
            </w:r>
          </w:p>
        </w:tc>
      </w:tr>
    </w:tbl>
    <w:p>
      <w:pPr>
        <w:spacing w:after="200" w:line="300"/>
      </w:pPr>
      <w:r>
        <w:rPr>
          <w:i w:val="false"/>
          <w:iCs w:val="false"/>
        </w:rPr>
        <w:t xml:space="preserve">Here's the core idea underneath all of it: early representations were discrete — dog = 1, car = 2, bus = 3. With only a handful of examples, a network can memorize this fine. But once your vocabulary grows to 50,000 words, 1 million, and beyond, discrete integer labels stop being learnable — there's no meaningful numeric relationship between "1" and "2" for a network to pick up on. The fix is to move from discrete to continuous representations: instead of a single integer, every token gets a vector of many decimal values (float32 in practice). Every embedding you'll work with today is continuous for exactly this reason.</w:t>
      </w:r>
    </w:p>
    <w:p>
      <w:pPr>
        <w:spacing w:after="200" w:line="300"/>
      </w:pPr>
      <w:r>
        <w:rPr>
          <w:i w:val="false"/>
          <w:iCs w:val="false"/>
        </w:rPr>
        <w:t xml:space="preserve">The reason continuous representations matter so much is similarity. You cannot compute a meaningful similarity — specifically cosine similarity — between two bare integers; two discrete numbers are effectively orthogonal to each other and carry no relational information. Cosine similarity only makes sense between vectors, which is exactly why the whole field moved toward continuous, vector-based embeddings. Once you have vectors, you can finally ask "how close are these two things in meaning?" — and that question is the foundation everything else in this class builds on.</w:t>
      </w:r>
    </w:p>
    <w:p>
      <w:pPr>
        <w:pStyle w:val="Heading1"/>
        <w:spacing w:after="160" w:before="320"/>
      </w:pPr>
      <w:r>
        <w:t xml:space="preserve">2. Context Before Similarity: What You're Actually Solving For</w:t>
      </w:r>
    </w:p>
    <w:p>
      <w:pPr>
        <w:spacing w:after="200" w:line="300"/>
      </w:pPr>
      <w:r>
        <w:rPr>
          <w:i w:val="false"/>
          <w:iCs w:val="false"/>
        </w:rPr>
        <w:t xml:space="preserve">There's a priority order worth internalizing here: context comes first, and similarity is a tool you use once you have context. Take the sentence "I am going to London." Even though it isn't a question, only two natural interrogatives come out of it — "where" and "who." There's no basis for "when," because no date information is present anywhere in the sentence. The point of the example is that context is bounded by what's actually present — you can't manufacture context the data doesn't contain.</w:t>
      </w:r>
    </w:p>
    <w:p>
      <w:pPr>
        <w:spacing w:after="200" w:line="300"/>
      </w:pPr>
      <w:r>
        <w:rPr>
          <w:i w:val="false"/>
          <w:iCs w:val="false"/>
        </w:rPr>
        <w:t xml:space="preserve">This is also why semantically related words end up close together in vector space. King and queen sit near each other in a high-dimensional embedding not because of an external label, but because they share a large set of attributes — royalty, power, family, gender — and each shared attribute nudges their vectors in a similar direction. The more attributes two words share, the more context they carry in common, and the closer they end up geometrically. This attribute-sharing idea is the mental model to keep in mind every time you look at an embedding visualization: closeness in the plot is a proxy for shared context, nothing more mystical than that.</w:t>
      </w:r>
    </w:p>
    <w:p>
      <w:pPr>
        <w:pStyle w:val="Heading1"/>
        <w:spacing w:after="160" w:before="320"/>
      </w:pPr>
      <w:r>
        <w:t xml:space="preserve">3. Everything (Almost) Is a Sequence</w:t>
      </w:r>
    </w:p>
    <w:p>
      <w:pPr>
        <w:spacing w:after="200" w:line="300"/>
      </w:pPr>
      <w:r>
        <w:rPr>
          <w:i w:val="false"/>
          <w:iCs w:val="false"/>
        </w:rPr>
        <w:t xml:space="preserve">Text, audio, and time-series data are all sequential — order carries meaning. "My name is Paul" and "Is Paul name my" use identical tokens but mean completely different things once you scramble the order, which is exactly why order-sensitive data needs a different treatment than order-insensitive data. Audio is sequential too: when audio is converted to a mel spectrogram (a heatmap-like visualization of frequency over time), the sequence across time is what carries meaning, which is why mel spectrograms combined with CNNs were a common approach for audio classification tasks before the current generation of models.</w:t>
      </w:r>
    </w:p>
    <w:p>
      <w:pPr>
        <w:spacing w:after="200" w:line="300"/>
      </w:pPr>
      <w:r>
        <w:rPr>
          <w:i w:val="false"/>
          <w:iCs w:val="false"/>
        </w:rPr>
        <w:t xml:space="preserve">Images are the exception. Images don't have a "sequence" the way text does — they're broken into patches instead, and what matters within a patch is local structure (color, edges) rather than an ordering of pixels. A completely black patch, for instance, carries no sequence-like information because there's no distinguishing structure to order. Keep this distinction in mind: sequence-based models (built around order) and patch-based models (built around local spatial structure) are solving related but different problems.</w:t>
      </w:r>
    </w:p>
    <w:p>
      <w:pPr>
        <w:pStyle w:val="Heading1"/>
        <w:spacing w:after="160" w:before="320"/>
      </w:pPr>
      <w:r>
        <w:t xml:space="preserve">4. Classical Context: N-grams, Sliding Windows, and the Distance Problem</w:t>
      </w:r>
    </w:p>
    <w:p>
      <w:pPr>
        <w:spacing w:after="200" w:line="300"/>
      </w:pPr>
      <w:r>
        <w:rPr>
          <w:i w:val="false"/>
          <w:iCs w:val="false"/>
        </w:rPr>
        <w:t xml:space="preserve">The classical way to give a word more context is a sliding window: look at a fixed number of tokens before and after your target word (the window size), and use that neighborhood to infer meaning. Take the sentence "Noah can be annoying, but she isn't..." — with a window size of 2 around "annoying," you get "be annoying but," which barely means anything on its own. Widen the window and add more neighboring tokens (bigrams, trigrams) and the phrase starts to carry real meaning. This is the sliding window concept: the window keeps moving one token at a time across the sentence, and a wider window generally means more context — up to a point.</w:t>
      </w:r>
    </w:p>
    <w:p>
      <w:pPr>
        <w:spacing w:after="200" w:line="300"/>
      </w:pPr>
      <w:r>
        <w:rPr>
          <w:i w:val="false"/>
          <w:iCs w:val="false"/>
        </w:rPr>
        <w:t xml:space="preserve">There was never an agreed-upon "correct" n-gram size. Various experiments (including the original GloVe implementation, where a window of roughly 3 tokens performed reasonably well) showed that 2 tokens gave too little context and going much past 4–5 tokens stopped helping. Nobody had a principled answer for the right number — it was trial and error, bounded on both sides by diminishing returns.</w:t>
      </w:r>
    </w:p>
    <w:p>
      <w:pPr>
        <w:pBdr>
          <w:left w:val="single" w:color="8B2E2E" w:sz="24" w:space="8"/>
        </w:pBdr>
        <w:shd w:fill="FBEEE6" w:val="clear"/>
        <w:spacing w:after="60" w:before="160"/>
        <w:ind w:left="100"/>
      </w:pPr>
      <w:r>
        <w:rPr>
          <w:b/>
          <w:bCs/>
          <w:color w:val="8B2E2E"/>
        </w:rPr>
        <w:t xml:space="preserve">⭑ Important — the distance problem</w:t>
      </w:r>
    </w:p>
    <w:p>
      <w:pPr>
        <w:pBdr>
          <w:left w:val="single" w:color="8B2E2E" w:sz="24" w:space="8"/>
        </w:pBdr>
        <w:shd w:fill="FBEEE6" w:val="clear"/>
        <w:spacing w:after="60" w:before="0"/>
        <w:ind w:left="100"/>
      </w:pPr>
      <w:r>
        <w:t xml:space="preserve">This is the motivating failure of classical NLP, and it's worth fully internalizing because it's exactly what self-attention was built to fix. Take "Noah can be annoying, but she isn't a cat." The pronoun "she" appears early, but the word that actually resolves what "she" refers to — cat — sits eight tokens later, far outside any workable fixed window.</w:t>
      </w:r>
    </w:p>
    <w:p>
      <w:pPr>
        <w:pBdr>
          <w:left w:val="single" w:color="8B2E2E" w:sz="24" w:space="8"/>
        </w:pBdr>
        <w:shd w:fill="FBEEE6" w:val="clear"/>
        <w:spacing w:after="60" w:before="0"/>
        <w:ind w:left="100"/>
      </w:pPr>
      <w:r>
        <w:t xml:space="preserve">A window-based (or n-gram-based) model can only see tokens inside its neighborhood. Once the disambiguating word falls outside that neighborhood, the model has no mechanism to reach it. Practically, this meant a classical NLP system processing "she" would infer nothing more than "some type of female," and a task like named-entity recognition would very likely mis-tag "she" as a person — because the one token that would correct that guess (cat) was never in view.</w:t>
      </w:r>
    </w:p>
    <w:p>
      <w:pPr>
        <w:pBdr>
          <w:left w:val="single" w:color="8B2E2E" w:sz="24" w:space="8"/>
        </w:pBdr>
        <w:shd w:fill="FBEEE6" w:val="clear"/>
        <w:spacing w:after="220" w:before="0"/>
        <w:ind w:left="100"/>
      </w:pPr>
      <w:r>
        <w:t xml:space="preserve">This is the single problem that motivated moving away from fixed windows entirely: distance and proximity, as concepts, cannot be trusted to reliably deliver context. You need a mechanism that gives every word access to every other word in the sentence regardless of how far apart they sit — which is precisely what self-attention provides (Section 7).</w:t>
      </w:r>
    </w:p>
    <w:p>
      <w:pPr>
        <w:pStyle w:val="Heading1"/>
        <w:spacing w:after="160" w:before="320"/>
      </w:pPr>
      <w:r>
        <w:t xml:space="preserve">5. The Time-Series Intuition: Re-weighting, Amplification, and Filtering</w:t>
      </w:r>
    </w:p>
    <w:p>
      <w:pPr>
        <w:spacing w:after="200" w:line="300"/>
      </w:pPr>
      <w:r>
        <w:rPr>
          <w:i w:val="false"/>
          <w:iCs w:val="false"/>
        </w:rPr>
        <w:t xml:space="preserve">Before jumping into self-attention itself, it helps to borrow an intuition from time-series smoothing, because the underlying idea — letting nearby data points influence each other — is the direct ancestor of attention weights. In time series, one classic way to reduce noise is exponential weighted average (EWA), also called simple exponential smoothing (SES): S_t = β·S_{t-1} + (1−β)·X_t, where X_t is the current observation, S_{t-1} is the previous smoothed value, and β (commonly around 0.9) controls the balance between trusting history versus trusting the newest observation. A high β means the smoothed value barely moves — the past dominates; a low β lets new observations swing the value more.</w:t>
      </w:r>
    </w:p>
    <w:p>
      <w:pPr>
        <w:pBdr>
          <w:left w:val="single" w:color="8B2E2E" w:sz="24" w:space="8"/>
        </w:pBdr>
        <w:shd w:fill="FBEEE6" w:val="clear"/>
        <w:spacing w:after="60" w:before="160"/>
        <w:ind w:left="100"/>
      </w:pPr>
      <w:r>
        <w:rPr>
          <w:b/>
          <w:bCs/>
          <w:color w:val="8B2E2E"/>
        </w:rPr>
        <w:t xml:space="preserve">⭑ Important — the re-weighting scheme</w:t>
      </w:r>
    </w:p>
    <w:p>
      <w:pPr>
        <w:pBdr>
          <w:left w:val="single" w:color="8B2E2E" w:sz="24" w:space="8"/>
        </w:pBdr>
        <w:shd w:fill="FBEEE6" w:val="clear"/>
        <w:spacing w:after="60" w:before="0"/>
        <w:ind w:left="100"/>
      </w:pPr>
      <w:r>
        <w:t xml:space="preserve">Applying EWA-style smoothing across a noisy time series does two things at once, and both matter for what comes next: points that are close together get amplified (their mutual influence is large, so their values pull toward each other and the curve smooths out), while points that are far apart get filtered out (their influence on each other approaches zero, since in time series you can only reach a distant point by passing through the points in between).</w:t>
      </w:r>
    </w:p>
    <w:p>
      <w:pPr>
        <w:pBdr>
          <w:left w:val="single" w:color="8B2E2E" w:sz="24" w:space="8"/>
        </w:pBdr>
        <w:shd w:fill="FBEEE6" w:val="clear"/>
        <w:spacing w:after="220" w:before="0"/>
        <w:ind w:left="100"/>
      </w:pPr>
      <w:r>
        <w:t xml:space="preserve">The output of this process is a smoother, less noisy curve — but the more important side effect is that each point now carries a small amount of information about its neighbors. That's context, produced purely by letting a rule decide how much one data point should influence another. This "assign more or less influence, based on a rule" pattern — amplify what's relevant, filter what isn't — is exactly the mental model self-attention uses when it computes weights between tokens. The formula changes completely once you move to NLP (proximity is not the deciding factor there, unlike in time series), but the underlying idea of a re-weighting scheme carries straight through.</w:t>
      </w:r>
    </w:p>
    <w:p>
      <w:pPr>
        <w:pStyle w:val="Heading1"/>
        <w:spacing w:after="160" w:before="320"/>
      </w:pPr>
      <w:r>
        <w:t xml:space="preserve">6. High-Dimensional Embeddings: Visualizing "Closeness"</w:t>
      </w:r>
    </w:p>
    <w:p>
      <w:pPr>
        <w:spacing w:after="200" w:line="300"/>
      </w:pPr>
      <w:r>
        <w:rPr>
          <w:i w:val="false"/>
          <w:iCs w:val="false"/>
        </w:rPr>
        <w:t xml:space="preserve">Real embeddings live in far more dimensions than you can plot directly, so tools like the TensorFlow Embedding Projector and embedding-atlas visualizers project them down into 2D or 3D so you can sanity-check the attribute-sharing idea from Section 2. In these visualizations, husband sits close to wife, father, mother, daughter, and son; prince sits close to princess and king — all because those words share a dense cluster of attributes. This is a useful gut-check tool, not something you'll compute by hand, so treat it as a way to build intuition for what "closeness" means rather than a technique in its own right.</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5400"/>
        <w:gridCol w:w="3600"/>
      </w:tblGrid>
      <w:tr>
        <w:trPr>
          <w:tblHeader/>
        </w:trPr>
        <w:tc>
          <w:tcPr>
            <w:tcW w:type="dxa" w:w="5400"/>
            <w:shd w:fill="EDE3DA" w:val="clear"/>
            <w:tcMar>
              <w:top w:type="dxa" w:w="80"/>
              <w:left w:type="dxa" w:w="100"/>
              <w:bottom w:type="dxa" w:w="80"/>
              <w:right w:type="dxa" w:w="100"/>
            </w:tcMar>
          </w:tcPr>
          <w:p>
            <w:r>
              <w:rPr>
                <w:b/>
                <w:bCs/>
              </w:rPr>
              <w:t xml:space="preserve">Era / model type</w:t>
            </w:r>
          </w:p>
        </w:tc>
        <w:tc>
          <w:tcPr>
            <w:tcW w:type="dxa" w:w="3600"/>
            <w:shd w:fill="EDE3DA" w:val="clear"/>
            <w:tcMar>
              <w:top w:type="dxa" w:w="80"/>
              <w:left w:type="dxa" w:w="100"/>
              <w:bottom w:type="dxa" w:w="80"/>
              <w:right w:type="dxa" w:w="100"/>
            </w:tcMar>
          </w:tcPr>
          <w:p>
            <w:r>
              <w:rPr>
                <w:b/>
                <w:bCs/>
              </w:rPr>
              <w:t xml:space="preserve">Typical embedding dimension</w:t>
            </w:r>
          </w:p>
        </w:tc>
      </w:tr>
      <w:tr>
        <w:tc>
          <w:tcPr>
            <w:tcW w:type="dxa" w:w="5400"/>
            <w:tcMar>
              <w:top w:type="dxa" w:w="60"/>
              <w:left w:type="dxa" w:w="100"/>
              <w:bottom w:type="dxa" w:w="60"/>
              <w:right w:type="dxa" w:w="100"/>
            </w:tcMar>
          </w:tcPr>
          <w:p>
            <w:r>
              <w:t xml:space="preserve">~2013–14 (early dense embeddings)</w:t>
            </w:r>
          </w:p>
        </w:tc>
        <w:tc>
          <w:tcPr>
            <w:tcW w:type="dxa" w:w="3600"/>
            <w:tcMar>
              <w:top w:type="dxa" w:w="60"/>
              <w:left w:type="dxa" w:w="100"/>
              <w:bottom w:type="dxa" w:w="60"/>
              <w:right w:type="dxa" w:w="100"/>
            </w:tcMar>
          </w:tcPr>
          <w:p>
            <w:r>
              <w:t xml:space="preserve">64 (bare minimum at the time)</w:t>
            </w:r>
          </w:p>
        </w:tc>
      </w:tr>
      <w:tr>
        <w:tc>
          <w:tcPr>
            <w:tcW w:type="dxa" w:w="5400"/>
            <w:tcMar>
              <w:top w:type="dxa" w:w="60"/>
              <w:left w:type="dxa" w:w="100"/>
              <w:bottom w:type="dxa" w:w="60"/>
              <w:right w:type="dxa" w:w="100"/>
            </w:tcMar>
          </w:tcPr>
          <w:p>
            <w:r>
              <w:t xml:space="preserve">~2016–17 (Word2Vec/GloVe demos)</w:t>
            </w:r>
          </w:p>
        </w:tc>
        <w:tc>
          <w:tcPr>
            <w:tcW w:type="dxa" w:w="3600"/>
            <w:tcMar>
              <w:top w:type="dxa" w:w="60"/>
              <w:left w:type="dxa" w:w="100"/>
              <w:bottom w:type="dxa" w:w="60"/>
              <w:right w:type="dxa" w:w="100"/>
            </w:tcMar>
          </w:tcPr>
          <w:p>
            <w:r>
              <w:t xml:space="preserve">128–300 (200 is a common demo size)</w:t>
            </w:r>
          </w:p>
        </w:tc>
      </w:tr>
      <w:tr>
        <w:tc>
          <w:tcPr>
            <w:tcW w:type="dxa" w:w="5400"/>
            <w:tcMar>
              <w:top w:type="dxa" w:w="60"/>
              <w:left w:type="dxa" w:w="100"/>
              <w:bottom w:type="dxa" w:w="60"/>
              <w:right w:type="dxa" w:w="100"/>
            </w:tcMar>
          </w:tcPr>
          <w:p>
            <w:r>
              <w:t xml:space="preserve">BERT-family models</w:t>
            </w:r>
          </w:p>
        </w:tc>
        <w:tc>
          <w:tcPr>
            <w:tcW w:type="dxa" w:w="3600"/>
            <w:tcMar>
              <w:top w:type="dxa" w:w="60"/>
              <w:left w:type="dxa" w:w="100"/>
              <w:bottom w:type="dxa" w:w="60"/>
              <w:right w:type="dxa" w:w="100"/>
            </w:tcMar>
          </w:tcPr>
          <w:p>
            <w:r>
              <w:t xml:space="preserve">768</w:t>
            </w:r>
          </w:p>
        </w:tc>
      </w:tr>
      <w:tr>
        <w:tc>
          <w:tcPr>
            <w:tcW w:type="dxa" w:w="5400"/>
            <w:tcMar>
              <w:top w:type="dxa" w:w="60"/>
              <w:left w:type="dxa" w:w="100"/>
              <w:bottom w:type="dxa" w:w="60"/>
              <w:right w:type="dxa" w:w="100"/>
            </w:tcMar>
          </w:tcPr>
          <w:p>
            <w:r>
              <w:t xml:space="preserve">Modern (2026) large embedding models</w:t>
            </w:r>
          </w:p>
        </w:tc>
        <w:tc>
          <w:tcPr>
            <w:tcW w:type="dxa" w:w="3600"/>
            <w:tcMar>
              <w:top w:type="dxa" w:w="60"/>
              <w:left w:type="dxa" w:w="100"/>
              <w:bottom w:type="dxa" w:w="60"/>
              <w:right w:type="dxa" w:w="100"/>
            </w:tcMar>
          </w:tcPr>
          <w:p>
            <w:r>
              <w:t xml:space="preserve">1,536–4,096, and climbing</w:t>
            </w:r>
          </w:p>
        </w:tc>
      </w:tr>
    </w:tbl>
    <w:p>
      <w:pPr>
        <w:spacing w:after="200" w:line="300"/>
      </w:pPr>
      <w:r>
        <w:rPr>
          <w:i w:val="false"/>
          <w:iCs w:val="false"/>
        </w:rPr>
        <w:t xml:space="preserve">To actually get from hundreds or thousands of dimensions down to something plottable, you need a dimensionality-reduction algorithm. PCA is the default and the oldest of the three; t-SNE generally produces denser, more visually separated clusters and is a better choice specifically for visualization; UMAP is the more advanced option and the one most commonly used in production settings today. None of these change the underlying embedding — they only make it possible to look at.</w:t>
      </w:r>
    </w:p>
    <w:p>
      <w:pPr>
        <w:pStyle w:val="Heading1"/>
        <w:spacing w:after="160" w:before="320"/>
      </w:pPr>
      <w:r>
        <w:t xml:space="preserve">7. Self-Attention: The Core Mechanism</w:t>
      </w:r>
    </w:p>
    <w:p>
      <w:pPr>
        <w:spacing w:after="200" w:line="300"/>
      </w:pPr>
      <w:r>
        <w:rPr>
          <w:i w:val="false"/>
          <w:iCs w:val="false"/>
        </w:rPr>
        <w:t xml:space="preserve">This is the section to know cold. Self-attention exists to solve exactly the distance problem from Section 4: instead of giving each token a small fixed window of neighbors, give every token direct access to every other token in the sequence, all at once, regardless of position. Here's the full derivation, step by step, using a 4-token example: "Bank of a river."</w:t>
      </w:r>
    </w:p>
    <w:p>
      <w:pPr>
        <w:spacing w:after="200" w:line="300"/>
      </w:pPr>
      <w:r>
        <w:rPr>
          <w:i w:val="false"/>
          <w:iCs w:val="false"/>
        </w:rPr>
        <w:t xml:space="preserve">First, tokenize the sentence into T1…T4, then convert each token into a vector using whatever vectorization scheme you like — TF-IDF, one-hot, Word2Vec, it genuinely doesn't matter at this stage, as long as the representation is continuous. Call these vectors V1…V4.</w:t>
      </w:r>
    </w:p>
    <w:p>
      <w:pPr>
        <w:pBdr>
          <w:left w:val="single" w:color="8B2E2E" w:sz="24" w:space="8"/>
        </w:pBdr>
        <w:shd w:fill="FBEEE6" w:val="clear"/>
        <w:spacing w:after="60" w:before="160"/>
        <w:ind w:left="100"/>
      </w:pPr>
      <w:r>
        <w:rPr>
          <w:b/>
          <w:bCs/>
          <w:color w:val="8B2E2E"/>
        </w:rPr>
        <w:t xml:space="preserve">⭑ Important — the self-attention derivation</w:t>
      </w:r>
    </w:p>
    <w:p>
      <w:pPr>
        <w:pBdr>
          <w:left w:val="single" w:color="8B2E2E" w:sz="24" w:space="8"/>
        </w:pBdr>
        <w:shd w:fill="FBEEE6" w:val="clear"/>
        <w:spacing w:after="60" w:before="0"/>
        <w:ind w:left="100"/>
      </w:pPr>
      <w:r>
        <w:t xml:space="preserve">Step 1 — raw weights via dot product. For every vector Vi, take the dot product against every vector in the sentence, including itself: Wij = Vi · Vj. A dot product between two vectors produces a single scalar, so for V1 you get four scalars — W11, W12, W13, W14 — one for each vector it's compared against. Do this for every Vi and you get a full grid of weights (a 4×4 grid for a 4-token sentence).</w:t>
      </w:r>
    </w:p>
    <w:p>
      <w:pPr>
        <w:pBdr>
          <w:left w:val="single" w:color="8B2E2E" w:sz="24" w:space="8"/>
        </w:pBdr>
        <w:shd w:fill="FBEEE6" w:val="clear"/>
        <w:spacing w:after="60" w:before="0"/>
        <w:ind w:left="100"/>
      </w:pPr>
      <w:r>
        <w:t xml:space="preserve">Step 2 — normalize. For a fixed i, take the row of raw weights (Wi1…Wi4) and rescale them so they sum to 1. This keeps the values on a controlled, comparable scale and keeps GPU computation efficient — skipping normalization measurably slows down the calculation. This is the same instinct as the re-weighting scheme from Section 5: you're deciding how much relative influence each vector should have.</w:t>
      </w:r>
    </w:p>
    <w:p>
      <w:pPr>
        <w:pBdr>
          <w:left w:val="single" w:color="8B2E2E" w:sz="24" w:space="8"/>
        </w:pBdr>
        <w:shd w:fill="FBEEE6" w:val="clear"/>
        <w:spacing w:after="60" w:before="0"/>
        <w:ind w:left="100"/>
      </w:pPr>
      <w:r>
        <w:t xml:space="preserve">Step 3 — weighted sum. Multiply each normalized weight by its corresponding vector and sum them: Yi = Wi1·V1 + Wi2·V2 + Wi3·V3 + Wi4·V4. The result, Yi, is a new vector — not a scalar — because you're summing weighted vectors, not weighted numbers. Do this once per token and you get Y1…Y4: a new, more contextual version of every input vector.</w:t>
      </w:r>
    </w:p>
    <w:p>
      <w:pPr>
        <w:pBdr>
          <w:left w:val="single" w:color="8B2E2E" w:sz="24" w:space="8"/>
        </w:pBdr>
        <w:shd w:fill="FBEEE6" w:val="clear"/>
        <w:spacing w:after="220" w:before="0"/>
        <w:ind w:left="100"/>
      </w:pPr>
      <w:r>
        <w:t xml:space="preserve">Worked through fully: Y1 = W11·V1 + W12·V2 + W13·V3 + W14·V4, Y2 = W21·V1 + W22·V2 + W23·V3 + W24·V4, and so on through Y3 and Y4. Notice that each Yi pulls a little information from every Vj — some vectors will contribute more, some less, depending on the weight — but nothing is fully excluded. That's the entire mechanism: no more, no less.</w:t>
      </w:r>
    </w:p>
    <w:p>
      <w:pPr>
        <w:spacing w:after="200" w:line="300"/>
      </w:pPr>
      <w:r>
        <w:rPr>
          <w:i w:val="false"/>
          <w:iCs w:val="false"/>
        </w:rPr>
        <w:t xml:space="preserve">Why this fixes the distance problem: in the "Noah… she… cat" example, "cat" is no longer stuck outside a small window — it participates directly in the dot product and weighted sum that produce the contextual vector for "she," no matter how many tokens separate them. Every token attends to every other token in one shot; there is no shrinking neighborhood to fall outside of.</w:t>
      </w:r>
    </w:p>
    <w:p>
      <w:pPr>
        <w:spacing w:after="200" w:line="300"/>
      </w:pPr>
      <w:r>
        <w:rPr>
          <w:i w:val="false"/>
          <w:iCs w:val="false"/>
        </w:rPr>
        <w:t xml:space="preserve">This entire process — tokens to vectors, dot-product weights, normalization, weighted sum — is called self-attention. It's worth sitting with this until it's automatic, because everything that follows (multi-head attention, the full Transformer block) is built directly on top of it.</w:t>
      </w:r>
    </w:p>
    <w:p>
      <w:pPr>
        <w:pStyle w:val="Heading2"/>
        <w:spacing w:after="160" w:before="320"/>
      </w:pPr>
      <w:r>
        <w:t xml:space="preserve">7.1 The Four Defining Properties of Self-Attention</w:t>
      </w:r>
    </w:p>
    <w:p>
      <w:pPr>
        <w:spacing w:after="200" w:line="300"/>
      </w:pPr>
      <w:r>
        <w:rPr>
          <w:b/>
          <w:bCs/>
        </w:rPr>
        <w:t xml:space="preserve">1. No external or trainable weights. </w:t>
      </w:r>
      <w:r>
        <w:t xml:space="preserve">Every quantity used above — the weights Wij and the outputs Yi — is derived purely from the input vectors themselves via dot products. Nothing is introduced from outside the system, and nothing needs training or backpropagation to run. That's genuinely where the name comes from: it's "self"-attention because the vectors are attending to themselves and each other, with no external parameters in the loop yet. (Backpropagation only becomes relevant once trainable weights — the Query/Key/Value projections — are introduced next session; plain self-attention has nothing to update.)</w:t>
      </w:r>
    </w:p>
    <w:p>
      <w:pPr>
        <w:spacing w:after="200" w:line="300"/>
      </w:pPr>
      <w:r>
        <w:rPr>
          <w:b/>
          <w:bCs/>
        </w:rPr>
        <w:t xml:space="preserve">2. Order has no influence. </w:t>
      </w:r>
      <w:r>
        <w:t xml:space="preserve">Because every vector is compared against every other vector regardless of position, the mechanism itself doesn't encode sequence order — that's a different concern (positional encoding, covered later). Note this is about the mechanism, not the training data: if your dataset is written in grammatically broken order throughout, that's a data problem, not a self-attention problem.</w:t>
      </w:r>
    </w:p>
    <w:p>
      <w:pPr>
        <w:spacing w:after="200" w:line="300"/>
      </w:pPr>
      <w:r>
        <w:rPr>
          <w:b/>
          <w:bCs/>
        </w:rPr>
        <w:t xml:space="preserve">3. Proximity / distance has no influence. </w:t>
      </w:r>
      <w:r>
        <w:t xml:space="preserve">This is the direct fix for Section 4's distance problem. Nearby and far-apart tokens are treated identically in terms of access — nothing is automatically down-weighted purely because of how far away it sits in the sentence.</w:t>
      </w:r>
    </w:p>
    <w:p>
      <w:pPr>
        <w:spacing w:after="200" w:line="300"/>
      </w:pPr>
      <w:r>
        <w:rPr>
          <w:b/>
          <w:bCs/>
        </w:rPr>
        <w:t xml:space="preserve">4. Shape-independent. </w:t>
      </w:r>
      <w:r>
        <w:t xml:space="preserve">The output vector Yi always has exactly the same dimensionality as the input vectors Vi. Self-attention pools context into a vector of the same shape you started with — it doesn't compress or expand the representation size.</w:t>
      </w:r>
    </w:p>
    <w:p>
      <w:pPr>
        <w:pStyle w:val="Heading2"/>
        <w:spacing w:after="160" w:before="320"/>
      </w:pPr>
      <w:r>
        <w:t xml:space="preserve">7.2 A Few Clarifications Worth Keeping</w:t>
      </w:r>
    </w:p>
    <w:p>
      <w:pPr>
        <w:spacing w:after="200" w:line="300"/>
      </w:pPr>
      <w:r>
        <w:rPr>
          <w:i w:val="false"/>
          <w:iCs w:val="false"/>
        </w:rPr>
        <w:t xml:space="preserve">Self-attention isn't limited to a single sentence — it works across a whole passage or context window. Sentence boundaries aren't lost in the process because special tokens (start-of-sentence, end-of-sentence) mark where one sentence ends and the next begins, so sentences aren't accidentally blended together.</w:t>
      </w:r>
    </w:p>
    <w:p>
      <w:pPr>
        <w:spacing w:after="200" w:line="300"/>
      </w:pPr>
      <w:r>
        <w:rPr>
          <w:i w:val="false"/>
          <w:iCs w:val="false"/>
        </w:rPr>
        <w:t xml:space="preserve">A useful sanity check for why this works without any training at all: take the classic example "The animal did not cross the road because it was tired." Self-attention can connect "it" back to "animal" rather than "road" purely from vector geometry — living things get "tired" far more often than roads do in the data those vectors came from, so "tired" and "animal" already sit closer together in vector space, and that closeness is what the dot product picks up on. You don't need labelled training data or backpropagation for this specific sentence; you need the underlying vectors to already encode that attribute-sharing relationship (Section 2), and self-attention exposes it.</w:t>
      </w:r>
    </w:p>
    <w:p>
      <w:pPr>
        <w:pStyle w:val="Heading1"/>
        <w:spacing w:after="160" w:before="320"/>
      </w:pPr>
      <w:r>
        <w:t xml:space="preserve">8. Self-Attention vs. Attention: Terminology</w:t>
      </w:r>
    </w:p>
    <w:p>
      <w:pPr>
        <w:pBdr>
          <w:left w:val="single" w:color="8B2E2E" w:sz="24" w:space="8"/>
        </w:pBdr>
        <w:shd w:fill="FBEEE6" w:val="clear"/>
        <w:spacing w:after="60" w:before="160"/>
        <w:ind w:left="100"/>
      </w:pPr>
      <w:r>
        <w:rPr>
          <w:b/>
          <w:bCs/>
          <w:color w:val="8B2E2E"/>
        </w:rPr>
        <w:t xml:space="preserve">⭑ Interview-critical distinction</w:t>
      </w:r>
    </w:p>
    <w:p>
      <w:pPr>
        <w:pBdr>
          <w:left w:val="single" w:color="8B2E2E" w:sz="24" w:space="8"/>
        </w:pBdr>
        <w:shd w:fill="FBEEE6" w:val="clear"/>
        <w:spacing w:after="60" w:before="0"/>
        <w:ind w:left="100"/>
      </w:pPr>
      <w:r>
        <w:t xml:space="preserve">This terminology distinction comes up constantly, so get it precise. "Self-attention" specifically means the process described in Section 7: weights and outputs computed purely from the input vectors, with no external trainable parameters. "Attention" (or "attention mechanism") is the broader term used once external, trainable weights are introduced — specifically the Query, Key, and Value linear projections, which is next session's topic.</w:t>
      </w:r>
    </w:p>
    <w:p>
      <w:pPr>
        <w:pBdr>
          <w:left w:val="single" w:color="8B2E2E" w:sz="24" w:space="8"/>
        </w:pBdr>
        <w:shd w:fill="FBEEE6" w:val="clear"/>
        <w:spacing w:after="220" w:before="0"/>
        <w:ind w:left="100"/>
      </w:pPr>
      <w:r>
        <w:t xml:space="preserve">In practice, nobody asks "what is attention?" in isolation — you'll be asked to explain the attention mechanism, and the expected answer always starts with self-attention as the foundational building block before layering Query/Key/Value on top. Get self-attention rock solid first; it's the piece every follow-up question assumes you already have.</w:t>
      </w:r>
    </w:p>
    <w:p>
      <w:pPr>
        <w:pStyle w:val="Heading1"/>
        <w:spacing w:after="160" w:before="320"/>
      </w:pPr>
      <w:r>
        <w:t xml:space="preserve">9. Closing Notes / What's Next</w:t>
      </w:r>
    </w:p>
    <w:p>
      <w:pPr>
        <w:spacing w:after="200" w:line="300"/>
      </w:pPr>
      <w:r>
        <w:rPr>
          <w:i w:val="false"/>
          <w:iCs w:val="false"/>
        </w:rPr>
        <w:t xml:space="preserve">Today was entirely intuition-building — no training, no external weights, and no code yet. The next session picks up from here with a full recap of self-attention, then introduces multi-head attention (MHA) and the Query/Key/Value linear layers that turn self-attention into a complete attention mechanism (with actual trainable weights and biases). After that, the plan is to start working through the source research paper directly.</w:t>
      </w:r>
    </w:p>
    <w:p>
      <w:pPr>
        <w:spacing w:after="200" w:line="300"/>
      </w:pPr>
      <w:r>
        <w:rPr>
          <w:i w:val="false"/>
          <w:iCs w:val="false"/>
        </w:rPr>
        <w:t xml:space="preserve">There's no separate homework beyond making sure the Section 7 derivation is second nature — that single block (tokens → vectors → dot-product weights → normalization → weighted sum) is described as the concept most likely to show up, in some form, in any Transformers-related interview question.</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000"/>
        <w:gridCol w:w="6000"/>
      </w:tblGrid>
      <w:tr>
        <w:trPr>
          <w:tblHeader/>
        </w:trPr>
        <w:tc>
          <w:tcPr>
            <w:tcW w:type="dxa" w:w="3000"/>
            <w:shd w:fill="EDE3DA" w:val="clear"/>
            <w:tcMar>
              <w:top w:type="dxa" w:w="80"/>
              <w:left w:type="dxa" w:w="100"/>
              <w:bottom w:type="dxa" w:w="80"/>
              <w:right w:type="dxa" w:w="100"/>
            </w:tcMar>
          </w:tcPr>
          <w:p>
            <w:r>
              <w:rPr>
                <w:b/>
                <w:bCs/>
              </w:rPr>
              <w:t xml:space="preserve">Term</w:t>
            </w:r>
          </w:p>
        </w:tc>
        <w:tc>
          <w:tcPr>
            <w:tcW w:type="dxa" w:w="6000"/>
            <w:shd w:fill="EDE3DA" w:val="clear"/>
            <w:tcMar>
              <w:top w:type="dxa" w:w="80"/>
              <w:left w:type="dxa" w:w="100"/>
              <w:bottom w:type="dxa" w:w="80"/>
              <w:right w:type="dxa" w:w="100"/>
            </w:tcMar>
          </w:tcPr>
          <w:p>
            <w:r>
              <w:rPr>
                <w:b/>
                <w:bCs/>
              </w:rPr>
              <w:t xml:space="preserve">Meaning</w:t>
            </w:r>
          </w:p>
        </w:tc>
      </w:tr>
      <w:tr>
        <w:tc>
          <w:tcPr>
            <w:tcW w:type="dxa" w:w="3000"/>
            <w:tcMar>
              <w:top w:type="dxa" w:w="60"/>
              <w:left w:type="dxa" w:w="100"/>
              <w:bottom w:type="dxa" w:w="60"/>
              <w:right w:type="dxa" w:w="100"/>
            </w:tcMar>
          </w:tcPr>
          <w:p>
            <w:r>
              <w:t xml:space="preserve">Token</w:t>
            </w:r>
          </w:p>
        </w:tc>
        <w:tc>
          <w:tcPr>
            <w:tcW w:type="dxa" w:w="6000"/>
            <w:tcMar>
              <w:top w:type="dxa" w:w="60"/>
              <w:left w:type="dxa" w:w="100"/>
              <w:bottom w:type="dxa" w:w="60"/>
              <w:right w:type="dxa" w:w="100"/>
            </w:tcMar>
          </w:tcPr>
          <w:p>
            <w:r>
              <w:t xml:space="preserve">A single unit of text — treated as one word for this class (special tokens like punctuation and SOS/EOS also count).</w:t>
            </w:r>
          </w:p>
        </w:tc>
      </w:tr>
      <w:tr>
        <w:tc>
          <w:tcPr>
            <w:tcW w:type="dxa" w:w="3000"/>
            <w:tcMar>
              <w:top w:type="dxa" w:w="60"/>
              <w:left w:type="dxa" w:w="100"/>
              <w:bottom w:type="dxa" w:w="60"/>
              <w:right w:type="dxa" w:w="100"/>
            </w:tcMar>
          </w:tcPr>
          <w:p>
            <w:r>
              <w:t xml:space="preserve">Vector / vectorization</w:t>
            </w:r>
          </w:p>
        </w:tc>
        <w:tc>
          <w:tcPr>
            <w:tcW w:type="dxa" w:w="6000"/>
            <w:tcMar>
              <w:top w:type="dxa" w:w="60"/>
              <w:left w:type="dxa" w:w="100"/>
              <w:bottom w:type="dxa" w:w="60"/>
              <w:right w:type="dxa" w:w="100"/>
            </w:tcMar>
          </w:tcPr>
          <w:p>
            <w:r>
              <w:t xml:space="preserve">A continuous, numerical representation of a token, from any technique (TF-IDF, one-hot, Word2Vec, etc.).</w:t>
            </w:r>
          </w:p>
        </w:tc>
      </w:tr>
      <w:tr>
        <w:tc>
          <w:tcPr>
            <w:tcW w:type="dxa" w:w="3000"/>
            <w:tcMar>
              <w:top w:type="dxa" w:w="60"/>
              <w:left w:type="dxa" w:w="100"/>
              <w:bottom w:type="dxa" w:w="60"/>
              <w:right w:type="dxa" w:w="100"/>
            </w:tcMar>
          </w:tcPr>
          <w:p>
            <w:r>
              <w:t xml:space="preserve">Embedding</w:t>
            </w:r>
          </w:p>
        </w:tc>
        <w:tc>
          <w:tcPr>
            <w:tcW w:type="dxa" w:w="6000"/>
            <w:tcMar>
              <w:top w:type="dxa" w:w="60"/>
              <w:left w:type="dxa" w:w="100"/>
              <w:bottom w:type="dxa" w:w="60"/>
              <w:right w:type="dxa" w:w="100"/>
            </w:tcMar>
          </w:tcPr>
          <w:p>
            <w:r>
              <w:t xml:space="preserve">A learned continuous representation. All embeddings are vectors, but not all vectors are embeddings.</w:t>
            </w:r>
          </w:p>
        </w:tc>
      </w:tr>
      <w:tr>
        <w:tc>
          <w:tcPr>
            <w:tcW w:type="dxa" w:w="3000"/>
            <w:tcMar>
              <w:top w:type="dxa" w:w="60"/>
              <w:left w:type="dxa" w:w="100"/>
              <w:bottom w:type="dxa" w:w="60"/>
              <w:right w:type="dxa" w:w="100"/>
            </w:tcMar>
          </w:tcPr>
          <w:p>
            <w:r>
              <w:t xml:space="preserve">Cosine similarity</w:t>
            </w:r>
          </w:p>
        </w:tc>
        <w:tc>
          <w:tcPr>
            <w:tcW w:type="dxa" w:w="6000"/>
            <w:tcMar>
              <w:top w:type="dxa" w:w="60"/>
              <w:left w:type="dxa" w:w="100"/>
              <w:bottom w:type="dxa" w:w="60"/>
              <w:right w:type="dxa" w:w="100"/>
            </w:tcMar>
          </w:tcPr>
          <w:p>
            <w:r>
              <w:t xml:space="preserve">A measure of closeness between two vectors; meaningless between discrete integers, which is why continuous embeddings are required.</w:t>
            </w:r>
          </w:p>
        </w:tc>
      </w:tr>
      <w:tr>
        <w:tc>
          <w:tcPr>
            <w:tcW w:type="dxa" w:w="3000"/>
            <w:tcMar>
              <w:top w:type="dxa" w:w="60"/>
              <w:left w:type="dxa" w:w="100"/>
              <w:bottom w:type="dxa" w:w="60"/>
              <w:right w:type="dxa" w:w="100"/>
            </w:tcMar>
          </w:tcPr>
          <w:p>
            <w:r>
              <w:t xml:space="preserve">Context window</w:t>
            </w:r>
          </w:p>
        </w:tc>
        <w:tc>
          <w:tcPr>
            <w:tcW w:type="dxa" w:w="6000"/>
            <w:tcMar>
              <w:top w:type="dxa" w:w="60"/>
              <w:left w:type="dxa" w:w="100"/>
              <w:bottom w:type="dxa" w:w="60"/>
              <w:right w:type="dxa" w:w="100"/>
            </w:tcMar>
          </w:tcPr>
          <w:p>
            <w:r>
              <w:t xml:space="preserve">The full scope an LLM can process at once — tokens plus cache and special tokens, not tokens alone.</w:t>
            </w:r>
          </w:p>
        </w:tc>
      </w:tr>
      <w:tr>
        <w:tc>
          <w:tcPr>
            <w:tcW w:type="dxa" w:w="3000"/>
            <w:tcMar>
              <w:top w:type="dxa" w:w="60"/>
              <w:left w:type="dxa" w:w="100"/>
              <w:bottom w:type="dxa" w:w="60"/>
              <w:right w:type="dxa" w:w="100"/>
            </w:tcMar>
          </w:tcPr>
          <w:p>
            <w:r>
              <w:t xml:space="preserve">Sliding window / n-gram</w:t>
            </w:r>
          </w:p>
        </w:tc>
        <w:tc>
          <w:tcPr>
            <w:tcW w:type="dxa" w:w="6000"/>
            <w:tcMar>
              <w:top w:type="dxa" w:w="60"/>
              <w:left w:type="dxa" w:w="100"/>
              <w:bottom w:type="dxa" w:w="60"/>
              <w:right w:type="dxa" w:w="100"/>
            </w:tcMar>
          </w:tcPr>
          <w:p>
            <w:r>
              <w:t xml:space="preserve">Classical technique of using only a small, fixed number of neighboring tokens for context.</w:t>
            </w:r>
          </w:p>
        </w:tc>
      </w:tr>
      <w:tr>
        <w:tc>
          <w:tcPr>
            <w:tcW w:type="dxa" w:w="3000"/>
            <w:tcMar>
              <w:top w:type="dxa" w:w="60"/>
              <w:left w:type="dxa" w:w="100"/>
              <w:bottom w:type="dxa" w:w="60"/>
              <w:right w:type="dxa" w:w="100"/>
            </w:tcMar>
          </w:tcPr>
          <w:p>
            <w:r>
              <w:t xml:space="preserve">Re-weighting</w:t>
            </w:r>
          </w:p>
        </w:tc>
        <w:tc>
          <w:tcPr>
            <w:tcW w:type="dxa" w:w="6000"/>
            <w:tcMar>
              <w:top w:type="dxa" w:w="60"/>
              <w:left w:type="dxa" w:w="100"/>
              <w:bottom w:type="dxa" w:w="60"/>
              <w:right w:type="dxa" w:w="100"/>
            </w:tcMar>
          </w:tcPr>
          <w:p>
            <w:r>
              <w:t xml:space="preserve">Assigning more or less influence to specific data points using a rule (e.g., EWA/SES in time series, or dot-product weights in self-attention).</w:t>
            </w:r>
          </w:p>
        </w:tc>
      </w:tr>
      <w:tr>
        <w:tc>
          <w:tcPr>
            <w:tcW w:type="dxa" w:w="3000"/>
            <w:tcMar>
              <w:top w:type="dxa" w:w="60"/>
              <w:left w:type="dxa" w:w="100"/>
              <w:bottom w:type="dxa" w:w="60"/>
              <w:right w:type="dxa" w:w="100"/>
            </w:tcMar>
          </w:tcPr>
          <w:p>
            <w:r>
              <w:t xml:space="preserve">Dot product</w:t>
            </w:r>
          </w:p>
        </w:tc>
        <w:tc>
          <w:tcPr>
            <w:tcW w:type="dxa" w:w="6000"/>
            <w:tcMar>
              <w:top w:type="dxa" w:w="60"/>
              <w:left w:type="dxa" w:w="100"/>
              <w:bottom w:type="dxa" w:w="60"/>
              <w:right w:type="dxa" w:w="100"/>
            </w:tcMar>
          </w:tcPr>
          <w:p>
            <w:r>
              <w:t xml:space="preserve">Multiplication of two vectors producing a single scalar; the basis for computing raw self-attention weights.</w:t>
            </w:r>
          </w:p>
        </w:tc>
      </w:tr>
      <w:tr>
        <w:tc>
          <w:tcPr>
            <w:tcW w:type="dxa" w:w="3000"/>
            <w:tcMar>
              <w:top w:type="dxa" w:w="60"/>
              <w:left w:type="dxa" w:w="100"/>
              <w:bottom w:type="dxa" w:w="60"/>
              <w:right w:type="dxa" w:w="100"/>
            </w:tcMar>
          </w:tcPr>
          <w:p>
            <w:r>
              <w:t xml:space="preserve">Normalization (here)</w:t>
            </w:r>
          </w:p>
        </w:tc>
        <w:tc>
          <w:tcPr>
            <w:tcW w:type="dxa" w:w="6000"/>
            <w:tcMar>
              <w:top w:type="dxa" w:w="60"/>
              <w:left w:type="dxa" w:w="100"/>
              <w:bottom w:type="dxa" w:w="60"/>
              <w:right w:type="dxa" w:w="100"/>
            </w:tcMar>
          </w:tcPr>
          <w:p>
            <w:r>
              <w:t xml:space="preserve">Rescaling a set of raw weights so they sum to 1, keeping values well-behaved for GPU computation.</w:t>
            </w:r>
          </w:p>
        </w:tc>
      </w:tr>
      <w:tr>
        <w:tc>
          <w:tcPr>
            <w:tcW w:type="dxa" w:w="3000"/>
            <w:tcMar>
              <w:top w:type="dxa" w:w="60"/>
              <w:left w:type="dxa" w:w="100"/>
              <w:bottom w:type="dxa" w:w="60"/>
              <w:right w:type="dxa" w:w="100"/>
            </w:tcMar>
          </w:tcPr>
          <w:p>
            <w:r>
              <w:t xml:space="preserve">Self-attention</w:t>
            </w:r>
          </w:p>
        </w:tc>
        <w:tc>
          <w:tcPr>
            <w:tcW w:type="dxa" w:w="6000"/>
            <w:tcMar>
              <w:top w:type="dxa" w:w="60"/>
              <w:left w:type="dxa" w:w="100"/>
              <w:bottom w:type="dxa" w:w="60"/>
              <w:right w:type="dxa" w:w="100"/>
            </w:tcMar>
          </w:tcPr>
          <w:p>
            <w:r>
              <w:t xml:space="preserve">Mechanism where each vector computes a weighted sum of every vector in the sequence, using only dot products of the vectors themselves — no external weights.</w:t>
            </w:r>
          </w:p>
        </w:tc>
      </w:tr>
      <w:tr>
        <w:tc>
          <w:tcPr>
            <w:tcW w:type="dxa" w:w="3000"/>
            <w:tcMar>
              <w:top w:type="dxa" w:w="60"/>
              <w:left w:type="dxa" w:w="100"/>
              <w:bottom w:type="dxa" w:w="60"/>
              <w:right w:type="dxa" w:w="100"/>
            </w:tcMar>
          </w:tcPr>
          <w:p>
            <w:r>
              <w:t xml:space="preserve">Shape-independent</w:t>
            </w:r>
          </w:p>
        </w:tc>
        <w:tc>
          <w:tcPr>
            <w:tcW w:type="dxa" w:w="6000"/>
            <w:tcMar>
              <w:top w:type="dxa" w:w="60"/>
              <w:left w:type="dxa" w:w="100"/>
              <w:bottom w:type="dxa" w:w="60"/>
              <w:right w:type="dxa" w:w="100"/>
            </w:tcMar>
          </w:tcPr>
          <w:p>
            <w:r>
              <w:t xml:space="preserve">Property of self-attention where output vector dimensionality always equals input vector dimensionality.</w:t>
            </w:r>
          </w:p>
        </w:tc>
      </w:tr>
      <w:tr>
        <w:tc>
          <w:tcPr>
            <w:tcW w:type="dxa" w:w="3000"/>
            <w:tcMar>
              <w:top w:type="dxa" w:w="60"/>
              <w:left w:type="dxa" w:w="100"/>
              <w:bottom w:type="dxa" w:w="60"/>
              <w:right w:type="dxa" w:w="100"/>
            </w:tcMar>
          </w:tcPr>
          <w:p>
            <w:r>
              <w:t xml:space="preserve">Query / Key / Value (Q/K/V)</w:t>
            </w:r>
          </w:p>
        </w:tc>
        <w:tc>
          <w:tcPr>
            <w:tcW w:type="dxa" w:w="6000"/>
            <w:tcMar>
              <w:top w:type="dxa" w:w="60"/>
              <w:left w:type="dxa" w:w="100"/>
              <w:bottom w:type="dxa" w:w="60"/>
              <w:right w:type="dxa" w:w="100"/>
            </w:tcMar>
          </w:tcPr>
          <w:p>
            <w:r>
              <w:t xml:space="preserve">Trainable linear projections introduced when self-attention becomes a full "attention mechanism" (next session).</w:t>
            </w:r>
          </w:p>
        </w:tc>
      </w:tr>
      <w:tr>
        <w:tc>
          <w:tcPr>
            <w:tcW w:type="dxa" w:w="3000"/>
            <w:tcMar>
              <w:top w:type="dxa" w:w="60"/>
              <w:left w:type="dxa" w:w="100"/>
              <w:bottom w:type="dxa" w:w="60"/>
              <w:right w:type="dxa" w:w="100"/>
            </w:tcMar>
          </w:tcPr>
          <w:p>
            <w:r>
              <w:t xml:space="preserve">Multi-head attention (MHA)</w:t>
            </w:r>
          </w:p>
        </w:tc>
        <w:tc>
          <w:tcPr>
            <w:tcW w:type="dxa" w:w="6000"/>
            <w:tcMar>
              <w:top w:type="dxa" w:w="60"/>
              <w:left w:type="dxa" w:w="100"/>
              <w:bottom w:type="dxa" w:w="60"/>
              <w:right w:type="dxa" w:w="100"/>
            </w:tcMar>
          </w:tcPr>
          <w:p>
            <w:r>
              <w:t xml:space="preserve">Running several attention blocks in parallel (next session).</w:t>
            </w:r>
          </w:p>
        </w:tc>
      </w:tr>
      <w:tr>
        <w:tc>
          <w:tcPr>
            <w:tcW w:type="dxa" w:w="3000"/>
            <w:tcMar>
              <w:top w:type="dxa" w:w="60"/>
              <w:left w:type="dxa" w:w="100"/>
              <w:bottom w:type="dxa" w:w="60"/>
              <w:right w:type="dxa" w:w="100"/>
            </w:tcMar>
          </w:tcPr>
          <w:p>
            <w:r>
              <w:t xml:space="preserve">PCA / t-SNE / UMAP</w:t>
            </w:r>
          </w:p>
        </w:tc>
        <w:tc>
          <w:tcPr>
            <w:tcW w:type="dxa" w:w="6000"/>
            <w:tcMar>
              <w:top w:type="dxa" w:w="60"/>
              <w:left w:type="dxa" w:w="100"/>
              <w:bottom w:type="dxa" w:w="60"/>
              <w:right w:type="dxa" w:w="100"/>
            </w:tcMar>
          </w:tcPr>
          <w:p>
            <w:r>
              <w:t xml:space="preserve">Dimensionality-reduction algorithms used to visualize high-dimensional embeddings in 2D/3D; UMAP is most common in production.</w:t>
            </w:r>
          </w:p>
        </w:tc>
      </w:tr>
    </w:tbl>
    <w:p>
      <w:pPr>
        <w:pStyle w:val="Heading1"/>
        <w:spacing w:after="160" w:before="320"/>
      </w:pPr>
      <w:r>
        <w:t xml:space="preserve">Common Points of Confusion: Class Q&amp;A</w:t>
      </w:r>
    </w:p>
    <w:p>
      <w:pPr>
        <w:spacing w:after="200" w:line="300"/>
      </w:pPr>
      <w:r>
        <w:rPr>
          <w:i w:val="false"/>
          <w:iCs w:val="false"/>
        </w:rP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If self-attention just uses plain vectors, do those vectors have to come from a trained embedding model first?</w:t>
      </w:r>
    </w:p>
    <w:p>
      <w:pPr>
        <w:spacing w:after="120" w:line="300"/>
      </w:pPr>
      <w:r>
        <w:t xml:space="preserve">A: No — self-attention works on any continuous vector representation, whether it comes from a trained embedding model, TF-IDF, one-hot encoding, or anything else. "Embedding" and "vector" aren't interchangeable: every embedding is a vector, but not every vector is an embedding, and self-attention only ever requires the latter. The one real requirement is that the representation be continuous, since discrete integers can't support the dot-product comparisons the mechanism depends on.</w:t>
      </w:r>
    </w:p>
    <w:p>
      <w:pPr>
        <w:spacing w:after="80" w:before="200"/>
      </w:pPr>
      <w:r>
        <w:rPr>
          <w:b/>
          <w:bCs/>
          <w:color w:val="8B2E2E"/>
        </w:rPr>
        <w:t xml:space="preserve">Q: In self-attention, is the dot product between two vectors the same thing as cosine similarity?</w:t>
      </w:r>
    </w:p>
    <w:p>
      <w:pPr>
        <w:spacing w:after="120" w:line="300"/>
      </w:pPr>
      <w:r>
        <w:t xml:space="preserve">A: No — a common mix-up worth being precise about. Cosine similarity is the dot product of two vectors divided by the product of their magnitudes (their vector norms); that division is what normalizes the result into a standard "how similar" range. Self-attention's raw score, Sij = Vi · Vj, is only the numerator of that formula — a plain, unnormalized dot product. The two calculations share their first step, but self-attention isn't computing a formal similarity score; it produces a raw weight that gets separately normalized later in the pipeline (via softmax, covered next session).</w:t>
      </w:r>
    </w:p>
    <w:p>
      <w:pPr>
        <w:spacing w:after="80" w:before="200"/>
      </w:pPr>
      <w:r>
        <w:rPr>
          <w:b/>
          <w:bCs/>
          <w:color w:val="8B2E2E"/>
        </w:rPr>
        <w:t xml:space="preserve">Q: If self-attention completely ignores word order, doesn't that break real language, where order matters?</w:t>
      </w:r>
    </w:p>
    <w:p>
      <w:pPr>
        <w:spacing w:after="120" w:line="300"/>
      </w:pPr>
      <w:r>
        <w:t xml:space="preserve">A: In practice, not really — because the training data itself is never shuffled. Real sentences fed into a Transformer are already in grammatically correct order, so order information is still implicitly present in the data even though the self-attention mechanism itself doesn't explicitly encode it. This would only become a real problem if an entire dataset were fed in scrambled order throughout training, which nobody does. Self-attention is also only one small block inside a much larger network — positional encoding, added elsewhere in the full architecture, is what explicitly reinstates order, precisely because relying on the data alone isn't considered sufficient for a production system.</w:t>
      </w:r>
    </w:p>
    <w:p>
      <w:pPr>
        <w:spacing w:after="80" w:before="200"/>
      </w:pPr>
      <w:r>
        <w:rPr>
          <w:b/>
          <w:bCs/>
          <w:color w:val="8B2E2E"/>
        </w:rPr>
        <w:t xml:space="preserve">Q: Why do all the vectors in a sentence need to be the same shape, and does every number inside a vector actually mean something?</w:t>
      </w:r>
    </w:p>
    <w:p>
      <w:pPr>
        <w:spacing w:after="120" w:line="300"/>
      </w:pPr>
      <w:r>
        <w:t xml:space="preserve">A: Every vector in a sequence must share the same shape purely so the dot-product and matrix operations stay mathematically valid — you can't take a dot product between mismatched dimensions. As for whether every value inside a vector is meaningful: not necessarily. Some dimensions clearly encode real attributes (the "royalty" or "gender" dimensions in a king/queen example), but others may carry very little useful signal — the same situation as a CNN using 64 filters when only 30–40 end up capturing anything genuinely useful (which is also why techniques like pruning exist later in a model's lifecycle). Worth knowing alongside this: training a dedicated embedding model from scratch realistically needs upward of 200,000 samples to produce genuinely useful representations — with less data than that, it's generally not worth the effort.</w:t>
      </w:r>
    </w:p>
    <w:p>
      <w:pPr>
        <w:spacing w:after="80" w:before="200"/>
      </w:pPr>
      <w:r>
        <w:rPr>
          <w:b/>
          <w:bCs/>
          <w:color w:val="8B2E2E"/>
        </w:rPr>
        <w:t xml:space="preserve">Q: Does self-attention need backpropagation to figure out that, in "the animal did not cross the road because it was tired," "it" refers to the animal and not the road?</w:t>
      </w:r>
    </w:p>
    <w:p>
      <w:pPr>
        <w:spacing w:after="120" w:line="300"/>
      </w:pPr>
      <w:r>
        <w:t xml:space="preserve">A: No — worth sitting with, since it's counterintuitive at first. Backpropagation exists to do one job: update weights and biases so a model's loss moves toward zero. Plain self-attention has no weights to update, so there's nothing for backpropagation to do at this stage. The "it → animal" connection instead comes from the same assumption every vectorization technique already relies on: semantically related things cluster together in vector space based on shared attributes. Since living things "get tired" far more often than roads do in real-world text, "tired" and "animal" already sit closer together geometrically before self-attention ever runs — the dot product simply surfaces a relationship that was already latent in the vectors, the same way a RAG system retrieves a relevant chunk via cosine similarity with no training involved in that retrieval step. Backpropagation only becomes necessary once trainable weights are introduced — exactly where next session's Key/Query/Value matrices come in.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2026-08-11T04:20:24.922Z</dcterms:created>
  <dcterms:modified xsi:type="dcterms:W3CDTF">2026-08-11T04:20:24.938Z</dcterms:modified>
</cp:coreProperties>
</file>

<file path=docProps/custom.xml><?xml version="1.0" encoding="utf-8"?>
<Properties xmlns="http://schemas.openxmlformats.org/officeDocument/2006/custom-properties" xmlns:vt="http://schemas.openxmlformats.org/officeDocument/2006/docPropsVTypes"/>
</file>