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Transformers 101</w:t>
      </w:r>
    </w:p>
    <w:p>
      <w:pPr>
        <w:spacing w:after="60"/>
      </w:pPr>
      <w:r>
        <w:rPr>
          <w:i/>
          <w:iCs/>
          <w:color w:val="555555"/>
          <w:sz w:val="26"/>
          <w:szCs w:val="26"/>
        </w:rPr>
        <w:t xml:space="preserve">Self-study notes — 2 August 2026</w:t>
      </w:r>
    </w:p>
    <w:p>
      <w:pPr>
        <w:spacing w:after="400"/>
      </w:pPr>
      <w:r>
        <w:rPr>
          <w:color w:val="555555"/>
          <w:sz w:val="22"/>
          <w:szCs w:val="22"/>
        </w:rPr>
        <w:t xml:space="preserve">From self-attention to trainable attention: Key, Query, Value, and your first working implementation.</w:t>
      </w:r>
    </w:p>
    <w:p>
      <w:pPr>
        <w:pStyle w:val="Heading1"/>
        <w:spacing w:after="160" w:before="320"/>
      </w:pPr>
      <w:r>
        <w:t xml:space="preserve">1. Recap: Self-Attention, Rebuilt with Cleaner Notation</w:t>
      </w:r>
    </w:p>
    <w:p>
      <w:pPr>
        <w:spacing w:after="200" w:line="300"/>
      </w:pPr>
      <w:r>
        <w:t xml:space="preserve">Today opens with the same self-attention computation from last session, rebuilt with different notation so the earlier confusion between "weight" as a generic term and "weight" as a trainable neural-network parameter doesn't happen again. The raw dot-product scores are now written as S (not W), and the normalized version is written as A (not the normalized W from before). Nothing about the underlying math changed — only the labels.</w:t>
      </w:r>
    </w:p>
    <w:p>
      <w:pPr>
        <w:spacing w:after="200" w:line="300"/>
      </w:pPr>
      <w:r>
        <w:t xml:space="preserve">The computation itself is unchanged: for every vector Vi, take the dot product against every vector in the sequence (including itself) to get raw scores Sij = Vi · Vj. For 4 vectors, that's a full 4×4 grid of 16 scores — every vector now has some (unknown) amount of information about every other vector, though the same-vector pairs (S11, S22, S33, S44) carry the strongest signal since a vector is maximally similar to itself. Normalize each row of scores (so it sums to 1) to get A, then compute the weighted sum Yi = Σj Aij·Vj to get the final contextualized vectors. This was walked through three separate times today — as a full grid, as a single worked example for one base vector, and again using compact index notation (i, j) — specifically so the mechanics would stick.</w:t>
      </w:r>
    </w:p>
    <w:p>
      <w:pPr>
        <w:pBdr>
          <w:left w:val="single" w:color="8B2E2E" w:sz="24" w:space="8"/>
        </w:pBdr>
        <w:shd w:fill="FBEEE6" w:val="clear"/>
        <w:spacing w:after="60" w:before="160"/>
        <w:ind w:left="100"/>
      </w:pPr>
      <w:r>
        <w:rPr>
          <w:b/>
          <w:bCs/>
          <w:color w:val="8B2E2E"/>
        </w:rPr>
        <w:t xml:space="preserve">⭑ Important — the four properties, revisited as trade-offs</w:t>
      </w:r>
    </w:p>
    <w:p>
      <w:pPr>
        <w:pBdr>
          <w:left w:val="single" w:color="8B2E2E" w:sz="24" w:space="8"/>
        </w:pBdr>
        <w:shd w:fill="FBEEE6" w:val="clear"/>
        <w:spacing w:after="60" w:before="0"/>
        <w:ind w:left="100"/>
      </w:pPr>
      <w:r>
        <w:t xml:space="preserve">Plain self-attention has four defining properties, and today reframes them explicitly as costs and benefits rather than just neutral facts. No training required sounds like a benefit, but it's actually a liability: if there's nothing to train, there's nothing to adapt to your data, and in deep learning that's close to useless on its own.</w:t>
      </w:r>
    </w:p>
    <w:p>
      <w:pPr>
        <w:pBdr>
          <w:left w:val="single" w:color="8B2E2E" w:sz="24" w:space="8"/>
        </w:pBdr>
        <w:shd w:fill="FBEEE6" w:val="clear"/>
        <w:spacing w:after="60" w:before="0"/>
        <w:ind w:left="100"/>
      </w:pPr>
      <w:r>
        <w:t xml:space="preserve">Proximity/distance doesn't matter and order has no influence are grouped together as the same underlying issue: everything gets mixed together regardless of position, so there's no way to tell whether a word came first, last, or right next to another word. Order having no influence is explicitly called out as one of the main cons of plain self-attention — and it's a real limitation, since language genuinely depends on word order. The fix for this specific problem is positional encoding, which comes later once the full Transformer architecture is built; today's material — self-attention and the Key/Query/Value mechanism — still doesn't address it.</w:t>
      </w:r>
    </w:p>
    <w:p>
      <w:pPr>
        <w:pBdr>
          <w:left w:val="single" w:color="8B2E2E" w:sz="24" w:space="8"/>
        </w:pBdr>
        <w:shd w:fill="FBEEE6" w:val="clear"/>
        <w:spacing w:after="220" w:before="0"/>
        <w:ind w:left="100"/>
      </w:pPr>
      <w:r>
        <w:t xml:space="preserve">Shape-independent remains a straightforward benefit: input and output vector dimensions always match, no matter what you do internally.</w:t>
      </w:r>
    </w:p>
    <w:p>
      <w:pPr>
        <w:pStyle w:val="Heading1"/>
        <w:spacing w:after="160" w:before="320"/>
      </w:pPr>
      <w:r>
        <w:t xml:space="preserve">2. A Notation Trap: Vector Dot Products vs. Matrix Multiplication</w:t>
      </w:r>
    </w:p>
    <w:p>
      <w:pPr>
        <w:spacing w:after="200" w:line="300"/>
      </w:pPr>
      <w:r>
        <w:t xml:space="preserve">Worth pausing on explicitly because it trips people up: a dot product between two individual vectors gives you a scalar — that part hasn't changed. But once you start working with entire sequences stacked together as matrices (which is how this runs in practice, not one vector-pair at a time), multiplying two matrices — say K and Qᵀ — gives you back a matrix, not a scalar. Both statements are true; they're just describing two different levels of the same operation. Keep straight which level you're talking about — a single vector-to-vector comparison, or a full batch of comparisons done at once as matrix multiplication — because interview questions and code will move between the two without warning.</w:t>
      </w:r>
    </w:p>
    <w:p>
      <w:pPr>
        <w:pStyle w:val="Heading1"/>
        <w:spacing w:after="160" w:before="320"/>
      </w:pPr>
      <w:r>
        <w:t xml:space="preserve">3. Making Self-Attention Trainable: Key, Query, and Value</w:t>
      </w:r>
    </w:p>
    <w:p>
      <w:pPr>
        <w:spacing w:after="200" w:line="300"/>
      </w:pPr>
      <w:r>
        <w:t xml:space="preserve">This is the core idea of today's session, and it directly fixes self-attention's biggest weakness: it has no trainable weights, so it can't learn anything from data. The fix starts with an observation about the self-attention computation you already know: every vector Vi gets reused three separate times in the course of producing Yi. It's used once as the thing being compared against (in the dot product), once as the base vector doing the comparing, and once again as the thing that actually gets aggregated in the final weighted sum. Since the same vector shows up in three structurally different roles, each role gets its own name.</w:t>
      </w:r>
    </w:p>
    <w:p>
      <w:pPr>
        <w:pBdr>
          <w:left w:val="single" w:color="8B2E2E" w:sz="24" w:space="8"/>
        </w:pBdr>
        <w:shd w:fill="FBEEE6" w:val="clear"/>
        <w:spacing w:after="60" w:before="160"/>
        <w:ind w:left="100"/>
      </w:pPr>
      <w:r>
        <w:rPr>
          <w:b/>
          <w:bCs/>
          <w:color w:val="8B2E2E"/>
        </w:rPr>
        <w:t xml:space="preserve">⭑ Important — the Key / Query / Value naming and why it exists</w:t>
      </w:r>
    </w:p>
    <w:p>
      <w:pPr>
        <w:pBdr>
          <w:left w:val="single" w:color="8B2E2E" w:sz="24" w:space="8"/>
        </w:pBdr>
        <w:shd w:fill="FBEEE6" w:val="clear"/>
        <w:spacing w:after="60" w:before="0"/>
        <w:ind w:left="100"/>
      </w:pPr>
      <w:r>
        <w:t xml:space="preserve">The first occurrence — the vectors being compared against — is called the Key. The second occurrence — the base vector doing the comparing — is called the Query. The third occurrence — the vectors that actually get aggregated once the weights are ready — is called the Value. Nothing mathematically new has happened yet at this point; these are just names attached to the exact same self-attention computation from Section 1, borrowed from a database analogy used in the original Transformer paper: a Query is what you're searching for, a Key is the label attached to stored information, and a Value is the actual content you retrieve once a Key matches.</w:t>
      </w:r>
    </w:p>
    <w:p>
      <w:pPr>
        <w:pBdr>
          <w:left w:val="single" w:color="8B2E2E" w:sz="24" w:space="8"/>
        </w:pBdr>
        <w:shd w:fill="FBEEE6" w:val="clear"/>
        <w:spacing w:after="220" w:before="0"/>
        <w:ind w:left="100"/>
      </w:pPr>
      <w:r>
        <w:t xml:space="preserve">This naming convention is now universal — every paper you'll read afterward (including concepts like the KV-cache used in modern LLM inference) assumes you know Query, Key, and Value as the standard vocabulary. In interviews, this is the terminology you'll be asked to reason in, not "self-attention with S and A" from Section 1 — get comfortable calling these three roles by name.</w:t>
      </w:r>
    </w:p>
    <w:p>
      <w:pPr>
        <w:spacing w:after="200" w:line="300"/>
      </w:pPr>
      <w:r>
        <w:t xml:space="preserve">Naming the three roles doesn't make anything trainable by itself — that requires actually introducing weights. The mechanism for that: attach a separate matrix to each of the three roles. Multiply the Key-role vector by a Key matrix (MK), the Query-role vector by a Query matrix (MQ), and the Value-role vector by a Value matrix (MV). Multiplying a 1×k vector by a k×k matrix produces another 1×k vector, so the shape you started with is exactly the shape you end up with — introducing these matrices costs you nothing in terms of dimensionality, but it gives you somewhere for trainable parameters to live.</w:t>
      </w:r>
    </w:p>
    <w:p>
      <w:pPr>
        <w:pBdr>
          <w:left w:val="single" w:color="8B2E2E" w:sz="24" w:space="8"/>
        </w:pBdr>
        <w:shd w:fill="FBEEE6" w:val="clear"/>
        <w:spacing w:after="60" w:before="160"/>
        <w:ind w:left="100"/>
      </w:pPr>
      <w:r>
        <w:rPr>
          <w:b/>
          <w:bCs/>
          <w:color w:val="8B2E2E"/>
        </w:rPr>
        <w:t xml:space="preserve">⭑ Important — why three separate matrices, and why this makes backpropagation possible</w:t>
      </w:r>
    </w:p>
    <w:p>
      <w:pPr>
        <w:pBdr>
          <w:left w:val="single" w:color="8B2E2E" w:sz="24" w:space="8"/>
        </w:pBdr>
        <w:shd w:fill="FBEEE6" w:val="clear"/>
        <w:spacing w:after="60" w:before="0"/>
        <w:ind w:left="100"/>
      </w:pPr>
      <w:r>
        <w:t xml:space="preserve">In practice, each of these matrices is implemented as its own linear layer (also called a hidden, dense, or fully-connected layer — all the same thing, just different framework vocabulary). You need three separate linear layers, not one shared matrix, because Key, Query, and Value are structurally different jobs: one produces something to be compared against, one produces the thing doing the comparing, and one produces the thing that ultimately gets aggregated. A single matrix can't simultaneously specialize for three different jobs — separating them lets each one learn independently, and the three computations run in parallel with no dependency on each other.</w:t>
      </w:r>
    </w:p>
    <w:p>
      <w:pPr>
        <w:pBdr>
          <w:left w:val="single" w:color="8B2E2E" w:sz="24" w:space="8"/>
        </w:pBdr>
        <w:shd w:fill="FBEEE6" w:val="clear"/>
        <w:spacing w:after="220" w:before="0"/>
        <w:ind w:left="100"/>
      </w:pPr>
      <w:r>
        <w:t xml:space="preserve">This is also what finally makes the system trainable. Once real weight matrices exist inside linear layers, a gradient signal has somewhere to flow backward to — from the final output Y, back through the Value, Key, and Query matrices — which means backpropagation can update them so the loss moves toward zero. Before this, in plain self-attention, there was nothing to update; everything was effectively hard-coded from the input vectors themselves. Weight initialization (via standard techniques like Xavier or He initialization) happens automatically the moment you define a linear layer in a framework like PyTorch — you don't hand-pick the starting values yourself.</w:t>
      </w:r>
    </w:p>
    <w:p>
      <w:pPr>
        <w:spacing w:after="200" w:line="300"/>
      </w:pPr>
      <w:r>
        <w:t xml:space="preserve">One more practical detail on sizing these matrices: the dimension you choose for the Key/Query/Value matrices is tied to your embedding dimension, which historically was tied to vocabulary size in classical NLP techniques (one-hot encoding, TF-IDF) — more unique words meant a bigger required dimension, by definition. That direct relationship breaks down for modern embedding models: techniques like Matryoshka Representation Learning (MRL), used in current-generation embedding models, can represent vocabularies of a million-plus words in a fixed, modest dimension (e.g., 768–4096) without needing one dimension per vocabulary entry. If you're reasoning about dimension sizing, know which regime you're in — classical, one-hot-style techniques where vocabulary size and dimension are locked together, versus modern learned embeddings where they aren't.</w:t>
      </w:r>
    </w:p>
    <w:p>
      <w:pPr>
        <w:pStyle w:val="Heading1"/>
        <w:spacing w:after="160" w:before="320"/>
      </w:pPr>
      <w:r>
        <w:t xml:space="preserve">4. From Theory to Code: Implementing Attention</w:t>
      </w:r>
    </w:p>
    <w:p>
      <w:pPr>
        <w:spacing w:after="200" w:line="300"/>
      </w:pPr>
      <w:r>
        <w:t xml:space="preserve">The class notebook builds the exact same pipeline from Sections 1–3 twice — once in plain NumPy (so every step is visible) and once in PyTorch (so you see the production-realistic version). Walking through the NumPy version first makes the PyTorch version much easier to trust, because by the time you get there you've already seen every operation it's doing internally.</w:t>
      </w:r>
    </w:p>
    <w:p>
      <w:pPr>
        <w:spacing w:after="200" w:line="300"/>
      </w:pPr>
      <w:r>
        <w:t xml:space="preserve">Step one is building embeddings — and the point is reiterated firmly: you do not need a trained embedding model to do this. The notebook uses NumPy's random number generator to assign each unique word in a small vocabulary a vector of Gaussian-distributed (bell-curve-shaped) random numbers, purely because Gaussian-distributed numbers are mathematically convenient to work with — there's no deeper significance to the choice. The vocabulary is built by taking the unique, sorted set of words in your sentence; each unique word gets its own row in an embedding table, and the number of columns in that table is the chosen embedding dimension (d_model).</w:t>
      </w:r>
    </w:p>
    <w:p>
      <w:pPr>
        <w:spacing w:after="200" w:line="300"/>
      </w:pPr>
      <w:r>
        <w:t xml:space="preserve">Step two builds the Key, Query, and Value projections: three separate weight matrices, each sampled from a Gaussian distribution and shaped d_model × d_k (in this example, kept equal for simplicity — d_k = d_model = 8). Multiplying your stacked input vectors by each of these three matrices (via matrix multiplication, written @ in NumPy or matmul/nn.Linear in PyTorch) gives you your Q, K, and V matrices.</w:t>
      </w:r>
    </w:p>
    <w:p>
      <w:pPr>
        <w:pBdr>
          <w:left w:val="single" w:color="8B2E2E" w:sz="24" w:space="8"/>
        </w:pBdr>
        <w:shd w:fill="FBEEE6" w:val="clear"/>
        <w:spacing w:after="60" w:before="160"/>
        <w:ind w:left="100"/>
      </w:pPr>
      <w:r>
        <w:rPr>
          <w:b/>
          <w:bCs/>
          <w:color w:val="8B2E2E"/>
        </w:rPr>
        <w:t xml:space="preserve">⭑ Important — the scaled score formula and softmax as normalization</w:t>
      </w:r>
    </w:p>
    <w:p>
      <w:pPr>
        <w:pBdr>
          <w:left w:val="single" w:color="8B2E2E" w:sz="24" w:space="8"/>
        </w:pBdr>
        <w:shd w:fill="FBEEE6" w:val="clear"/>
        <w:spacing w:after="60" w:before="0"/>
        <w:ind w:left="100"/>
      </w:pPr>
      <w:r>
        <w:t xml:space="preserve">The raw attention scores are computed as Q · Kᵀ, then divided by the square root of d_k — written as Q·Kᵀ / √d_k. This scaling step isn't part of the core self-attention idea from Section 1; it's a practical addition from the original paper. Dividing by √d_k keeps the scale of the scores from growing too large as dimensionality increases, which in practice makes training noticeably more stable and keeps gradient calculations well-behaved — that's the entire justification for it.</w:t>
      </w:r>
    </w:p>
    <w:p>
      <w:pPr>
        <w:pBdr>
          <w:left w:val="single" w:color="8B2E2E" w:sz="24" w:space="8"/>
        </w:pBdr>
        <w:shd w:fill="FBEEE6" w:val="clear"/>
        <w:spacing w:after="220" w:before="0"/>
        <w:ind w:left="100"/>
      </w:pPr>
      <w:r>
        <w:t xml:space="preserve">Normalization itself is done with softmax, replacing the informal "just make it sum to 1" description from last session. Softmax takes a set of raw numbers and converts them into probabilities: every output value lands between 0 and 1, and the full set sums to exactly 1. It's commonly known as an activation function, but here it's doing double duty as your normalization step — there's no separate normalization operation happening alongside softmax, softmax is the normalization.</w:t>
      </w:r>
    </w:p>
    <w:p>
      <w:pPr>
        <w:spacing w:after="200" w:line="300"/>
      </w:pPr>
      <w:r>
        <w:t xml:space="preserve">With softmax-normalized attention weights in hand, the final step is unchanged from Section 1: multiply the attention weights by V and sum, producing the contextualized output vectors Y1 through Y4. The notebook shows this calculated two different ways — a fully manual, element-by-element version, and a single-line matrix multiplication — then uses np.allclose (or torch.allclose in the PyTorch version) to confirm both approaches produce equivalent results. That equivalence check is worth internalizing: going forward, real code will almost always use the compact one-line version, but it's doing exactly the manual computation underneath.</w:t>
      </w:r>
    </w:p>
    <w:p>
      <w:pPr>
        <w:spacing w:after="200" w:line="300"/>
      </w:pPr>
      <w:r>
        <w:t xml:space="preserve">The PyTorch version repeats this pipeline using framework-native pieces: nn.Embedding replaces the random-number-generator embedding step, and three separate nn.Linear layers (with bias=False for simplicity) replace the manually sampled Key/Query/Value matrices. F.softmax replaces the custom softmax function. One PyTorch-specific detail worth knowing generally (not specific to attention): batching adds an extra leading dimension to your tensors — this is standard across all deep learning, not a Transformer-specific quirk — so a single sentence of shape (4, 8) becomes (1, 4, 8) once you account for a batch of size 1, using an unsqueeze operation to add that dimension.</w:t>
      </w:r>
    </w:p>
    <w:p>
      <w:pPr>
        <w:spacing w:after="200" w:line="300"/>
      </w:pPr>
      <w:r>
        <w:t xml:space="preserve">PyTorch also ships a ready-made nn.MultiheadAttention module that performs this entire pipeline in one call — today's demonstration uses it with num_heads=1, since only one linear layer per Key/Query/Value has been introduced so far. The idea of multiple heads is simple to state even without full detail: running several parallel linear layers instead of one turns a single-head setup into a multi-head one — 4 parallel linear layers gives you 4 heads, 8 gives you 8, and so on. The number of heads is a hyperparameter you choose, commonly a power of two (8, 16, 32), with more heads costing more compute. Full treatment of multi-head attention — why you'd want multiple heads at all, and how their outputs get recombined — is next session's topic.</w:t>
      </w:r>
    </w:p>
    <w:p>
      <w:pPr>
        <w:pStyle w:val="Heading1"/>
        <w:spacing w:after="160" w:before="320"/>
      </w:pPr>
      <w:r>
        <w:t xml:space="preserve">5. Proving It Works: Cosine Similarity Before and After Attention</w:t>
      </w:r>
    </w:p>
    <w:p>
      <w:pPr>
        <w:spacing w:after="200" w:line="300"/>
      </w:pPr>
      <w:r>
        <w:t xml:space="preserve">Theory aside, the notebook includes a direct test of whether any of this actually does something useful, using two sentences built around the same ambiguous word: "bank of a river" and "bank account has money." The word "bank" means something completely different in each sentence, and that ambiguity is exactly what contextualization is supposed to resolve.</w:t>
      </w:r>
    </w:p>
    <w:p>
      <w:pPr>
        <w:spacing w:after="200" w:line="300"/>
      </w:pPr>
      <w:r>
        <w:t xml:space="preserve">Before attention — using the raw, static embedding for "bank" in both sentences — the cosine similarity between the two comes out at (or extremely close to) 1.0, meaning the two vectors are essentially identical. That's expected and correct: a static embedding assigns one fixed vector per word regardless of context, so of course both instances of "bank" look the same to it, even though they mean entirely different things.</w:t>
      </w:r>
    </w:p>
    <w:p>
      <w:pPr>
        <w:spacing w:after="200" w:line="300"/>
      </w:pPr>
      <w:r>
        <w:t xml:space="preserve">After attention — comparing the contextualized Y vectors for "bank" in each sentence — the similarity should measurably drop, since each "bank" has now pulled in context from its neighboring words ("river" in one case, "account" and "money" in the other) and those two contexts should pull the vectors apart. In today's run the drop is real but modest (similarity around 0.8 rather than a much lower number), and that's a direct consequence of using untrained, randomly generated or barely-trained embeddings rather than genuinely trained ones — with random numbers, there's no real learned relationship between "river" and "bank" for the attention mechanism to exploit in the first place.</w:t>
      </w:r>
    </w:p>
    <w:p>
      <w:pPr>
        <w:spacing w:after="200" w:line="300"/>
      </w:pPr>
      <w:r>
        <w:t xml:space="preserve">This is exactly why the assignment for this session is to re-run the identical notebook after swapping the embedding source for a real trained model — Word2Vec or GloVe, both freely available (Word2Vec via Gensim, GloVe directly from Stanford). With genuinely trained embeddings carrying real learned relationships between words, the similarity drop between the two "bank" contexts should be far more pronounced, and the whole exercise should feel far less arbitrary than it does with random numbers.</w:t>
      </w:r>
    </w:p>
    <w:p>
      <w:pPr>
        <w:pStyle w:val="Heading1"/>
        <w:spacing w:after="160" w:before="320"/>
      </w:pPr>
      <w:r>
        <w:t xml:space="preserve">6. Closing Notes / What's Next</w:t>
      </w:r>
    </w:p>
    <w:p>
      <w:pPr>
        <w:spacing w:after="200" w:line="300"/>
      </w:pPr>
      <w:r>
        <w:t xml:space="preserve">Next session moves fully into multi-head attention (MHA) — why you'd want more than one head, and how outputs from separate heads get recombined into a single result — followed by a walkthrough of the "Attention Is All You Need" paper itself, building toward the complete Transformer architecture.</w:t>
      </w:r>
    </w:p>
    <w:p>
      <w:pPr>
        <w:spacing w:after="200" w:line="300"/>
      </w:pPr>
      <w:r>
        <w:t xml:space="preserve">The assignment: take the shared notebook, replace the embedding step (currently either NumPy random numbers or nn.Embedding) with a pretrained Word2Vec or GloVe model, and re-run the cosine-similarity comparison from Section 5. Share the completed notebook link before next class.</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3000"/>
        <w:gridCol w:w="6000"/>
      </w:tblGrid>
      <w:tr>
        <w:trPr>
          <w:tblHeader/>
        </w:trPr>
        <w:tc>
          <w:tcPr>
            <w:tcW w:type="dxa" w:w="3000"/>
            <w:shd w:fill="EDE3DA" w:val="clear"/>
            <w:tcMar>
              <w:top w:type="dxa" w:w="80"/>
              <w:left w:type="dxa" w:w="100"/>
              <w:bottom w:type="dxa" w:w="80"/>
              <w:right w:type="dxa" w:w="100"/>
            </w:tcMar>
          </w:tcPr>
          <w:p>
            <w:r>
              <w:rPr>
                <w:b/>
                <w:bCs/>
              </w:rPr>
              <w:t xml:space="preserve">Term</w:t>
            </w:r>
          </w:p>
        </w:tc>
        <w:tc>
          <w:tcPr>
            <w:tcW w:type="dxa" w:w="6000"/>
            <w:shd w:fill="EDE3DA" w:val="clear"/>
            <w:tcMar>
              <w:top w:type="dxa" w:w="80"/>
              <w:left w:type="dxa" w:w="100"/>
              <w:bottom w:type="dxa" w:w="80"/>
              <w:right w:type="dxa" w:w="100"/>
            </w:tcMar>
          </w:tcPr>
          <w:p>
            <w:r>
              <w:rPr>
                <w:b/>
                <w:bCs/>
              </w:rPr>
              <w:t xml:space="preserve">Meaning</w:t>
            </w:r>
          </w:p>
        </w:tc>
      </w:tr>
      <w:tr>
        <w:tc>
          <w:tcPr>
            <w:tcW w:type="dxa" w:w="3000"/>
            <w:tcMar>
              <w:top w:type="dxa" w:w="60"/>
              <w:left w:type="dxa" w:w="100"/>
              <w:bottom w:type="dxa" w:w="60"/>
              <w:right w:type="dxa" w:w="100"/>
            </w:tcMar>
          </w:tcPr>
          <w:p>
            <w:r>
              <w:t xml:space="preserve">Query (Q)</w:t>
            </w:r>
          </w:p>
        </w:tc>
        <w:tc>
          <w:tcPr>
            <w:tcW w:type="dxa" w:w="6000"/>
            <w:tcMar>
              <w:top w:type="dxa" w:w="60"/>
              <w:left w:type="dxa" w:w="100"/>
              <w:bottom w:type="dxa" w:w="60"/>
              <w:right w:type="dxa" w:w="100"/>
            </w:tcMar>
          </w:tcPr>
          <w:p>
            <w:r>
              <w:t xml:space="preserve">The base vector doing the comparing — "what am I looking for." Same underlying vector as in plain self-attention, just named for this specific role.</w:t>
            </w:r>
          </w:p>
        </w:tc>
      </w:tr>
      <w:tr>
        <w:tc>
          <w:tcPr>
            <w:tcW w:type="dxa" w:w="3000"/>
            <w:tcMar>
              <w:top w:type="dxa" w:w="60"/>
              <w:left w:type="dxa" w:w="100"/>
              <w:bottom w:type="dxa" w:w="60"/>
              <w:right w:type="dxa" w:w="100"/>
            </w:tcMar>
          </w:tcPr>
          <w:p>
            <w:r>
              <w:t xml:space="preserve">Key (K)</w:t>
            </w:r>
          </w:p>
        </w:tc>
        <w:tc>
          <w:tcPr>
            <w:tcW w:type="dxa" w:w="6000"/>
            <w:tcMar>
              <w:top w:type="dxa" w:w="60"/>
              <w:left w:type="dxa" w:w="100"/>
              <w:bottom w:type="dxa" w:w="60"/>
              <w:right w:type="dxa" w:w="100"/>
            </w:tcMar>
          </w:tcPr>
          <w:p>
            <w:r>
              <w:t xml:space="preserve">The vectors being compared against — "the label attached to available information."</w:t>
            </w:r>
          </w:p>
        </w:tc>
      </w:tr>
      <w:tr>
        <w:tc>
          <w:tcPr>
            <w:tcW w:type="dxa" w:w="3000"/>
            <w:tcMar>
              <w:top w:type="dxa" w:w="60"/>
              <w:left w:type="dxa" w:w="100"/>
              <w:bottom w:type="dxa" w:w="60"/>
              <w:right w:type="dxa" w:w="100"/>
            </w:tcMar>
          </w:tcPr>
          <w:p>
            <w:r>
              <w:t xml:space="preserve">Value (V)</w:t>
            </w:r>
          </w:p>
        </w:tc>
        <w:tc>
          <w:tcPr>
            <w:tcW w:type="dxa" w:w="6000"/>
            <w:tcMar>
              <w:top w:type="dxa" w:w="60"/>
              <w:left w:type="dxa" w:w="100"/>
              <w:bottom w:type="dxa" w:w="60"/>
              <w:right w:type="dxa" w:w="100"/>
            </w:tcMar>
          </w:tcPr>
          <w:p>
            <w:r>
              <w:t xml:space="preserve">The vectors that get aggregated once attention weights are ready — "the actual content retrieved."</w:t>
            </w:r>
          </w:p>
        </w:tc>
      </w:tr>
      <w:tr>
        <w:tc>
          <w:tcPr>
            <w:tcW w:type="dxa" w:w="3000"/>
            <w:tcMar>
              <w:top w:type="dxa" w:w="60"/>
              <w:left w:type="dxa" w:w="100"/>
              <w:bottom w:type="dxa" w:w="60"/>
              <w:right w:type="dxa" w:w="100"/>
            </w:tcMar>
          </w:tcPr>
          <w:p>
            <w:r>
              <w:t xml:space="preserve">Linear layer</w:t>
            </w:r>
          </w:p>
        </w:tc>
        <w:tc>
          <w:tcPr>
            <w:tcW w:type="dxa" w:w="6000"/>
            <w:tcMar>
              <w:top w:type="dxa" w:w="60"/>
              <w:left w:type="dxa" w:w="100"/>
              <w:bottom w:type="dxa" w:w="60"/>
              <w:right w:type="dxa" w:w="100"/>
            </w:tcMar>
          </w:tcPr>
          <w:p>
            <w:r>
              <w:t xml:space="preserve">A trainable matrix (also called hidden/dense/fully-connected layer) — the mechanism used to introduce weights for Q, K, and V.</w:t>
            </w:r>
          </w:p>
        </w:tc>
      </w:tr>
      <w:tr>
        <w:tc>
          <w:tcPr>
            <w:tcW w:type="dxa" w:w="3000"/>
            <w:tcMar>
              <w:top w:type="dxa" w:w="60"/>
              <w:left w:type="dxa" w:w="100"/>
              <w:bottom w:type="dxa" w:w="60"/>
              <w:right w:type="dxa" w:w="100"/>
            </w:tcMar>
          </w:tcPr>
          <w:p>
            <w:r>
              <w:t xml:space="preserve">Softmax</w:t>
            </w:r>
          </w:p>
        </w:tc>
        <w:tc>
          <w:tcPr>
            <w:tcW w:type="dxa" w:w="6000"/>
            <w:tcMar>
              <w:top w:type="dxa" w:w="60"/>
              <w:left w:type="dxa" w:w="100"/>
              <w:bottom w:type="dxa" w:w="60"/>
              <w:right w:type="dxa" w:w="100"/>
            </w:tcMar>
          </w:tcPr>
          <w:p>
            <w:r>
              <w:t xml:space="preserve">Converts raw numbers into probabilities between 0 and 1 that sum to 1; used here as the normalization step for attention scores.</w:t>
            </w:r>
          </w:p>
        </w:tc>
      </w:tr>
      <w:tr>
        <w:tc>
          <w:tcPr>
            <w:tcW w:type="dxa" w:w="3000"/>
            <w:tcMar>
              <w:top w:type="dxa" w:w="60"/>
              <w:left w:type="dxa" w:w="100"/>
              <w:bottom w:type="dxa" w:w="60"/>
              <w:right w:type="dxa" w:w="100"/>
            </w:tcMar>
          </w:tcPr>
          <w:p>
            <w:r>
              <w:t xml:space="preserve">Scaled dot-product attention</w:t>
            </w:r>
          </w:p>
        </w:tc>
        <w:tc>
          <w:tcPr>
            <w:tcW w:type="dxa" w:w="6000"/>
            <w:tcMar>
              <w:top w:type="dxa" w:w="60"/>
              <w:left w:type="dxa" w:w="100"/>
              <w:bottom w:type="dxa" w:w="60"/>
              <w:right w:type="dxa" w:w="100"/>
            </w:tcMar>
          </w:tcPr>
          <w:p>
            <w:r>
              <w:t xml:space="preserve">Q · Kᵀ / √d_k — the raw self-attention score, divided by the square root of the key dimension for training stability.</w:t>
            </w:r>
          </w:p>
        </w:tc>
      </w:tr>
      <w:tr>
        <w:tc>
          <w:tcPr>
            <w:tcW w:type="dxa" w:w="3000"/>
            <w:tcMar>
              <w:top w:type="dxa" w:w="60"/>
              <w:left w:type="dxa" w:w="100"/>
              <w:bottom w:type="dxa" w:w="60"/>
              <w:right w:type="dxa" w:w="100"/>
            </w:tcMar>
          </w:tcPr>
          <w:p>
            <w:r>
              <w:t xml:space="preserve">d_k / d_model</w:t>
            </w:r>
          </w:p>
        </w:tc>
        <w:tc>
          <w:tcPr>
            <w:tcW w:type="dxa" w:w="6000"/>
            <w:tcMar>
              <w:top w:type="dxa" w:w="60"/>
              <w:left w:type="dxa" w:w="100"/>
              <w:bottom w:type="dxa" w:w="60"/>
              <w:right w:type="dxa" w:w="100"/>
            </w:tcMar>
          </w:tcPr>
          <w:p>
            <w:r>
              <w:t xml:space="preserve">The dimensionality of the vectors/matrices involved; kept equal for simplicity in this session's examples.</w:t>
            </w:r>
          </w:p>
        </w:tc>
      </w:tr>
      <w:tr>
        <w:tc>
          <w:tcPr>
            <w:tcW w:type="dxa" w:w="3000"/>
            <w:tcMar>
              <w:top w:type="dxa" w:w="60"/>
              <w:left w:type="dxa" w:w="100"/>
              <w:bottom w:type="dxa" w:w="60"/>
              <w:right w:type="dxa" w:w="100"/>
            </w:tcMar>
          </w:tcPr>
          <w:p>
            <w:r>
              <w:t xml:space="preserve">Backpropagation (here)</w:t>
            </w:r>
          </w:p>
        </w:tc>
        <w:tc>
          <w:tcPr>
            <w:tcW w:type="dxa" w:w="6000"/>
            <w:tcMar>
              <w:top w:type="dxa" w:w="60"/>
              <w:left w:type="dxa" w:w="100"/>
              <w:bottom w:type="dxa" w:w="60"/>
              <w:right w:type="dxa" w:w="100"/>
            </w:tcMar>
          </w:tcPr>
          <w:p>
            <w:r>
              <w:t xml:space="preserve">Only possible once Q/K/V linear layers exist — the gradient signal flows back through those matrices to update them.</w:t>
            </w:r>
          </w:p>
        </w:tc>
      </w:tr>
      <w:tr>
        <w:tc>
          <w:tcPr>
            <w:tcW w:type="dxa" w:w="3000"/>
            <w:tcMar>
              <w:top w:type="dxa" w:w="60"/>
              <w:left w:type="dxa" w:w="100"/>
              <w:bottom w:type="dxa" w:w="60"/>
              <w:right w:type="dxa" w:w="100"/>
            </w:tcMar>
          </w:tcPr>
          <w:p>
            <w:r>
              <w:t xml:space="preserve">Batch dimension</w:t>
            </w:r>
          </w:p>
        </w:tc>
        <w:tc>
          <w:tcPr>
            <w:tcW w:type="dxa" w:w="6000"/>
            <w:tcMar>
              <w:top w:type="dxa" w:w="60"/>
              <w:left w:type="dxa" w:w="100"/>
              <w:bottom w:type="dxa" w:w="60"/>
              <w:right w:type="dxa" w:w="100"/>
            </w:tcMar>
          </w:tcPr>
          <w:p>
            <w:r>
              <w:t xml:space="preserve">An extra leading dimension added to tensors when processing data in batches — a general deep-learning concept, not specific to attention.</w:t>
            </w:r>
          </w:p>
        </w:tc>
      </w:tr>
      <w:tr>
        <w:tc>
          <w:tcPr>
            <w:tcW w:type="dxa" w:w="3000"/>
            <w:tcMar>
              <w:top w:type="dxa" w:w="60"/>
              <w:left w:type="dxa" w:w="100"/>
              <w:bottom w:type="dxa" w:w="60"/>
              <w:right w:type="dxa" w:w="100"/>
            </w:tcMar>
          </w:tcPr>
          <w:p>
            <w:r>
              <w:t xml:space="preserve">Multi-head attention (MHA)</w:t>
            </w:r>
          </w:p>
        </w:tc>
        <w:tc>
          <w:tcPr>
            <w:tcW w:type="dxa" w:w="6000"/>
            <w:tcMar>
              <w:top w:type="dxa" w:w="60"/>
              <w:left w:type="dxa" w:w="100"/>
              <w:bottom w:type="dxa" w:w="60"/>
              <w:right w:type="dxa" w:w="100"/>
            </w:tcMar>
          </w:tcPr>
          <w:p>
            <w:r>
              <w:t xml:space="preserve">Running several parallel Q/K/V linear-layer sets ('heads') instead of one; number of heads is a hyperparameter, commonly a power of two.</w:t>
            </w:r>
          </w:p>
        </w:tc>
      </w:tr>
      <w:tr>
        <w:tc>
          <w:tcPr>
            <w:tcW w:type="dxa" w:w="3000"/>
            <w:tcMar>
              <w:top w:type="dxa" w:w="60"/>
              <w:left w:type="dxa" w:w="100"/>
              <w:bottom w:type="dxa" w:w="60"/>
              <w:right w:type="dxa" w:w="100"/>
            </w:tcMar>
          </w:tcPr>
          <w:p>
            <w:r>
              <w:t xml:space="preserve">Matryoshka Representation Learning (MRL)</w:t>
            </w:r>
          </w:p>
        </w:tc>
        <w:tc>
          <w:tcPr>
            <w:tcW w:type="dxa" w:w="6000"/>
            <w:tcMar>
              <w:top w:type="dxa" w:w="60"/>
              <w:left w:type="dxa" w:w="100"/>
              <w:bottom w:type="dxa" w:w="60"/>
              <w:right w:type="dxa" w:w="100"/>
            </w:tcMar>
          </w:tcPr>
          <w:p>
            <w:r>
              <w:t xml:space="preserve">Modern embedding technique that decouples embedding dimension from vocabulary size, unlike classical one-hot/TF-IDF approaches.</w:t>
            </w:r>
          </w:p>
        </w:tc>
      </w:tr>
      <w:tr>
        <w:tc>
          <w:tcPr>
            <w:tcW w:type="dxa" w:w="3000"/>
            <w:tcMar>
              <w:top w:type="dxa" w:w="60"/>
              <w:left w:type="dxa" w:w="100"/>
              <w:bottom w:type="dxa" w:w="60"/>
              <w:right w:type="dxa" w:w="100"/>
            </w:tcMar>
          </w:tcPr>
          <w:p>
            <w:r>
              <w:t xml:space="preserve">Positional encoding</w:t>
            </w:r>
          </w:p>
        </w:tc>
        <w:tc>
          <w:tcPr>
            <w:tcW w:type="dxa" w:w="6000"/>
            <w:tcMar>
              <w:top w:type="dxa" w:w="60"/>
              <w:left w:type="dxa" w:w="100"/>
              <w:bottom w:type="dxa" w:w="60"/>
              <w:right w:type="dxa" w:w="100"/>
            </w:tcMar>
          </w:tcPr>
          <w:p>
            <w:r>
              <w:t xml:space="preserve">The (not-yet-covered) mechanism that will fix self-attention/attention's blindness to word order.</w:t>
            </w:r>
          </w:p>
        </w:tc>
      </w:tr>
      <w:tr>
        <w:tc>
          <w:tcPr>
            <w:tcW w:type="dxa" w:w="3000"/>
            <w:tcMar>
              <w:top w:type="dxa" w:w="60"/>
              <w:left w:type="dxa" w:w="100"/>
              <w:bottom w:type="dxa" w:w="60"/>
              <w:right w:type="dxa" w:w="100"/>
            </w:tcMar>
          </w:tcPr>
          <w:p>
            <w:r>
              <w:t xml:space="preserve">np.allclose / torch.allclose</w:t>
            </w:r>
          </w:p>
        </w:tc>
        <w:tc>
          <w:tcPr>
            <w:tcW w:type="dxa" w:w="6000"/>
            <w:tcMar>
              <w:top w:type="dxa" w:w="60"/>
              <w:left w:type="dxa" w:w="100"/>
              <w:bottom w:type="dxa" w:w="60"/>
              <w:right w:type="dxa" w:w="100"/>
            </w:tcMar>
          </w:tcPr>
          <w:p>
            <w:r>
              <w:t xml:space="preserve">Checks whether two arrays/tensors are element-wise equal within tolerance — used to confirm manual and vectorized calculations match.</w:t>
            </w:r>
          </w:p>
        </w:tc>
      </w:tr>
    </w:tbl>
    <w:p>
      <w:pPr>
        <w:pStyle w:val="Heading1"/>
        <w:spacing w:after="160" w:before="320"/>
      </w:pPr>
      <w:r>
        <w:t xml:space="preserve">Common Points of Confusion: Class Q&amp;A</w:t>
      </w:r>
    </w:p>
    <w:p>
      <w:pPr>
        <w:spacing w:after="200" w:line="300"/>
      </w:pPr>
      <w:r>
        <w:t xml:space="preserve">These are the questions from class discussion that surfaced genuine points of confusion — the kind worth knowing cold, since if a classmate got tripped up here, an interviewer might expect you to untangle the same thing on the spot.</w:t>
      </w:r>
    </w:p>
    <w:p>
      <w:pPr>
        <w:spacing w:after="80" w:before="200"/>
      </w:pPr>
      <w:r>
        <w:rPr>
          <w:b/>
          <w:bCs/>
          <w:color w:val="8B2E2E"/>
        </w:rPr>
        <w:t xml:space="preserve">Q: In the notebook code, is V (the Value) calculated from the raw input vectors, or from the attention weights after they've been normalized?</w:t>
      </w:r>
    </w:p>
    <w:p>
      <w:pPr>
        <w:spacing w:after="120" w:line="300"/>
      </w:pPr>
      <w:r>
        <w:t xml:space="preserve">A: V is calculated directly from the raw input, exactly like Q and K: V = X @ W_V, computed independently and in parallel, before any attention weights exist yet. It's easy to assume Value should come after the attention weights are ready, since conceptually Value is described as "the thing that gets aggregated once the weights are ready" — but the projection into V-space and the actual weighting are two separate steps. All three projections (Q, K, and V) get computed from X independently first; only afterward do the normalized attention weights (from softmax) get multiplied against this already-computed V to produce the final contextualized output Y.</w:t>
      </w:r>
    </w:p>
    <w:p>
      <w:pPr>
        <w:spacing w:after="80" w:before="200"/>
      </w:pPr>
      <w:r>
        <w:rPr>
          <w:b/>
          <w:bCs/>
          <w:color w:val="8B2E2E"/>
        </w:rPr>
        <w:t xml:space="preserve">Q: Do the Query, Key, and Value vector sizes scale directly with whatever embedding dimension you choose?</w:t>
      </w:r>
    </w:p>
    <w:p>
      <w:pPr>
        <w:spacing w:after="120" w:line="300"/>
      </w:pPr>
      <w:r>
        <w:t xml:space="preserve">A: Yes. If your embedding dimension is 300, a single word's vector is a 1×300 row, and its Query, Key, and Value projections will all be shaped based on that same 300-dimensional space (subject to whatever output dimension you choose for the projection matrices). This is independent of vocabulary size — a 10,000-word vocabulary and a 1,000,000-word vocabulary can both use the exact same 300-dimensional embedding space; vocabulary size and embedding dimension aren't locked together the way they were in classical one-hot techniques.</w:t>
      </w:r>
    </w:p>
    <w:p>
      <w:pPr>
        <w:spacing w:after="80" w:before="200"/>
      </w:pPr>
      <w:r>
        <w:rPr>
          <w:b/>
          <w:bCs/>
          <w:color w:val="8B2E2E"/>
        </w:rPr>
        <w:t xml:space="preserve">Q: Is the specific set of three matrices — Key, Query, Value — fixed by the paper, or could a real implementation use more (or differently named) matrices?</w:t>
      </w:r>
    </w:p>
    <w:p>
      <w:pPr>
        <w:spacing w:after="120" w:line="300"/>
      </w:pPr>
      <w:r>
        <w:t xml:space="preserve">A: The three-matrix structure and the Key/Query/Value names both come directly from the original paper's database analogy, and that specific naming has since been adopted as the standard convention across the field — including in newer concepts like the KV-cache used in modern LLM inference. Nothing stops you from renaming them in your own code, but doing so would only hurt you in an interview context: when someone asks about the attention mechanism, they're expecting you to reason in Key/Query/Value vocabulary specifically, since that's now the universal reference point every follow-up paper and every interviewer assumes.</w:t>
      </w:r>
    </w:p>
    <w:p>
      <w:pPr>
        <w:spacing w:after="80" w:before="200"/>
      </w:pPr>
      <w:r>
        <w:rPr>
          <w:b/>
          <w:bCs/>
          <w:color w:val="8B2E2E"/>
        </w:rPr>
        <w:t xml:space="preserve">Q: When you introduce a linear layer for Key, Query, or Value, do you manually set its starting weight values yourself?</w:t>
      </w:r>
    </w:p>
    <w:p>
      <w:pPr>
        <w:spacing w:after="120" w:line="300"/>
      </w:pPr>
      <w:r>
        <w:t xml:space="preserve">A: No — weight initialization is handled automatically by the framework the moment you define a layer (e.g., nn.Linear in PyTorch), using standard techniques like Xavier/Glorot or He initialization. You don't hand-pick starting values; the framework picks a principled random starting point for you, and backpropagation takes over from there to actually move those values toward something useful during training.</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2026-08-11T04:20:42.189Z</dcterms:created>
  <dcterms:modified xsi:type="dcterms:W3CDTF">2026-08-11T04:20:42.190Z</dcterms:modified>
</cp:coreProperties>
</file>

<file path=docProps/custom.xml><?xml version="1.0" encoding="utf-8"?>
<Properties xmlns="http://schemas.openxmlformats.org/officeDocument/2006/custom-properties" xmlns:vt="http://schemas.openxmlformats.org/officeDocument/2006/docPropsVTypes"/>
</file>