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C38EA" w14:textId="77777777" w:rsidR="001E220D" w:rsidRDefault="00000000" w:rsidP="00DD0DE6">
      <w:pPr>
        <w:spacing w:after="60"/>
        <w:jc w:val="both"/>
      </w:pPr>
      <w:r>
        <w:rPr>
          <w:b/>
          <w:bCs/>
          <w:color w:val="8B2E2E"/>
          <w:sz w:val="48"/>
          <w:szCs w:val="48"/>
        </w:rPr>
        <w:t>Transformers 101</w:t>
      </w:r>
    </w:p>
    <w:p w14:paraId="2FB0525C" w14:textId="77777777" w:rsidR="001E220D" w:rsidRDefault="00000000" w:rsidP="00DD0DE6">
      <w:pPr>
        <w:spacing w:after="60"/>
        <w:jc w:val="both"/>
      </w:pPr>
      <w:r>
        <w:rPr>
          <w:i/>
          <w:iCs/>
          <w:color w:val="555555"/>
          <w:sz w:val="26"/>
          <w:szCs w:val="26"/>
        </w:rPr>
        <w:t>Self-study notes — 8 August 2026</w:t>
      </w:r>
    </w:p>
    <w:p w14:paraId="1A5455BC" w14:textId="77777777" w:rsidR="001E220D" w:rsidRDefault="00000000" w:rsidP="00DD0DE6">
      <w:pPr>
        <w:spacing w:after="400"/>
        <w:jc w:val="both"/>
      </w:pPr>
      <w:r>
        <w:rPr>
          <w:color w:val="555555"/>
        </w:rPr>
        <w:t>Multi-head attention, and your first pass through "Attention Is All You Need."</w:t>
      </w:r>
    </w:p>
    <w:p w14:paraId="3069DD9F" w14:textId="77777777" w:rsidR="001E220D" w:rsidRDefault="00000000" w:rsidP="00DD0DE6">
      <w:pPr>
        <w:pStyle w:val="Heading1"/>
        <w:jc w:val="both"/>
      </w:pPr>
      <w:r>
        <w:t>1. Recap: The Four Rules of Self-Attention</w:t>
      </w:r>
    </w:p>
    <w:p w14:paraId="6867EBCF" w14:textId="77777777" w:rsidR="001E220D" w:rsidRDefault="00000000" w:rsidP="00DD0DE6">
      <w:pPr>
        <w:spacing w:after="200" w:line="300" w:lineRule="auto"/>
        <w:jc w:val="both"/>
      </w:pPr>
      <w:r>
        <w:t xml:space="preserve">Quick refresher before today's new material: plain self-attention runs on four rules. There's no external weight — everything is computed </w:t>
      </w:r>
      <w:proofErr w:type="gramStart"/>
      <w:r>
        <w:t>from</w:t>
      </w:r>
      <w:proofErr w:type="gramEnd"/>
      <w:r>
        <w:t xml:space="preserve"> the vectors themselves. Proximity has no influence — a word being close by doesn't earn it any more priority than a word far away, unlike classical NLP. Order has no influence — the mechanism mixes information regardless of sequence position. And it's shape-independent — whatever vector shape goes in comes back out unchanged.</w:t>
      </w:r>
    </w:p>
    <w:p w14:paraId="75CE563D" w14:textId="77777777" w:rsidR="001E220D" w:rsidRDefault="00000000" w:rsidP="00DD0DE6">
      <w:pPr>
        <w:spacing w:after="200" w:line="300" w:lineRule="auto"/>
        <w:jc w:val="both"/>
      </w:pPr>
      <w:r>
        <w:t>Of these four, order having no influence is the one to keep in the back of your mind going forward, because it's the one property that's actually a genuine problem — language depends on word order, and nothing covered so far (including the Key/Query/Value mechanism from last session) fixes it. The fix is positional encoding, which appears in today's architecture diagram but isn't taught in depth yet — for now, just know it's coming and that it's the reason self-attention alone isn't sufficient for a real Transformer.</w:t>
      </w:r>
    </w:p>
    <w:p w14:paraId="07CF4D89" w14:textId="77777777" w:rsidR="001E220D" w:rsidRDefault="00000000" w:rsidP="00DD0DE6">
      <w:pPr>
        <w:pStyle w:val="Heading1"/>
        <w:jc w:val="both"/>
      </w:pPr>
      <w:r>
        <w:t>2. Multi-Head Attention: Why One Pass Isn't Enough</w:t>
      </w:r>
    </w:p>
    <w:p w14:paraId="36DE3F7C" w14:textId="77777777" w:rsidR="001E220D" w:rsidRDefault="00000000" w:rsidP="00DD0DE6">
      <w:pPr>
        <w:spacing w:after="200" w:line="300" w:lineRule="auto"/>
        <w:jc w:val="both"/>
      </w:pPr>
      <w:r>
        <w:t xml:space="preserve">The motivating question for today: in a single </w:t>
      </w:r>
      <w:proofErr w:type="gramStart"/>
      <w:r>
        <w:t>pass through</w:t>
      </w:r>
      <w:proofErr w:type="gramEnd"/>
      <w:r>
        <w:t xml:space="preserve"> attention (one head, which is everything you've built so far), do you actually capture all the attention you need between tokens? Nobody can answer that with certainty. In any given pass, some token-to-token relationships might get a strong, useful weight, while other real relationships get assigned a weak one — and if a real relationship gets under-weighted, that's lost context, which means lower-quality contextualized vectors downstream.</w:t>
      </w:r>
    </w:p>
    <w:p w14:paraId="0736532A" w14:textId="77777777" w:rsidR="001E220D" w:rsidRDefault="00000000" w:rsidP="00DD0DE6">
      <w:pPr>
        <w:spacing w:after="200" w:line="300" w:lineRule="auto"/>
        <w:jc w:val="both"/>
      </w:pPr>
      <w:r>
        <w:t>This is the same logic used for choosing the number of kernels (filters) in a CNN — you never know in advance which kernel will end up capturing a genuinely useful feature, so you deliberately use more than you think you need (8, 16, 32, 64...) as a hedge, knowing some will end up mattering more than others. Multi-head attention applies the identical hedge to attention: run several independent attention computations in parallel — the paper uses 8 — so that if one head under-</w:t>
      </w:r>
      <w:proofErr w:type="gramStart"/>
      <w:r>
        <w:t>weights</w:t>
      </w:r>
      <w:proofErr w:type="gramEnd"/>
      <w:r>
        <w:t xml:space="preserve"> a relationship, another head has a real chance of catching it.</w:t>
      </w:r>
    </w:p>
    <w:p w14:paraId="4A2120F0" w14:textId="77777777" w:rsidR="001E220D" w:rsidRDefault="00000000" w:rsidP="00DD0DE6">
      <w:pPr>
        <w:pBdr>
          <w:left w:val="single" w:sz="24" w:space="8" w:color="8B2E2E"/>
        </w:pBdr>
        <w:shd w:val="clear" w:color="auto" w:fill="FBEEE6"/>
        <w:spacing w:before="160" w:after="60"/>
        <w:ind w:left="100"/>
        <w:jc w:val="both"/>
      </w:pPr>
      <w:r>
        <w:rPr>
          <w:b/>
          <w:bCs/>
          <w:color w:val="8B2E2E"/>
        </w:rPr>
        <w:t>⭑ Important — the mechanics, and the reasoning chain behind more heads</w:t>
      </w:r>
    </w:p>
    <w:p w14:paraId="73F9773E" w14:textId="77777777" w:rsidR="001E220D" w:rsidRDefault="00000000" w:rsidP="00DD0DE6">
      <w:pPr>
        <w:pBdr>
          <w:left w:val="single" w:sz="24" w:space="8" w:color="8B2E2E"/>
        </w:pBdr>
        <w:shd w:val="clear" w:color="auto" w:fill="FBEEE6"/>
        <w:spacing w:after="60"/>
        <w:ind w:left="100"/>
        <w:jc w:val="both"/>
      </w:pPr>
      <w:r>
        <w:t xml:space="preserve">Mechanically, a "head" is just one full Key/Query/Value linear-layer set from last session. Multiple heads </w:t>
      </w:r>
      <w:proofErr w:type="gramStart"/>
      <w:r>
        <w:t>means</w:t>
      </w:r>
      <w:proofErr w:type="gramEnd"/>
      <w:r>
        <w:t xml:space="preserve"> multiple independent sets of these — 8 heads </w:t>
      </w:r>
      <w:proofErr w:type="gramStart"/>
      <w:r>
        <w:t>means</w:t>
      </w:r>
      <w:proofErr w:type="gramEnd"/>
      <w:r>
        <w:t xml:space="preserve"> 8 separate Query matrices, 8 separate Key matrices, and 8 separate Value matrices, each with its own independent weight initialization (Xavier or He). Because each head starts from different initial weights and updates independently during training, different heads naturally end up specializing in different relationships — nobody assigns each head a job; it emerges from independent initialization plus backpropagation.</w:t>
      </w:r>
    </w:p>
    <w:p w14:paraId="4460807B" w14:textId="77777777" w:rsidR="001E220D" w:rsidRDefault="00000000" w:rsidP="00DD0DE6">
      <w:pPr>
        <w:pBdr>
          <w:left w:val="single" w:sz="24" w:space="8" w:color="8B2E2E"/>
        </w:pBdr>
        <w:shd w:val="clear" w:color="auto" w:fill="FBEEE6"/>
        <w:spacing w:after="60"/>
        <w:ind w:left="100"/>
        <w:jc w:val="both"/>
      </w:pPr>
      <w:r>
        <w:t xml:space="preserve">Each head runs its own version of the full attention pipeline — its own raw scores </w:t>
      </w:r>
      <w:proofErr w:type="spellStart"/>
      <w:r>
        <w:t>Sij</w:t>
      </w:r>
      <w:proofErr w:type="spellEnd"/>
      <w:r>
        <w:t xml:space="preserve">, its own normalized weights Aij, and its own output vectors </w:t>
      </w:r>
      <w:proofErr w:type="spellStart"/>
      <w:r>
        <w:t>Yij</w:t>
      </w:r>
      <w:proofErr w:type="spellEnd"/>
      <w:r>
        <w:t xml:space="preserve"> — completely in parallel, with zero dependency between heads. Once every head has produced its own output, the outputs get concatenated (joined end to end, not averaged </w:t>
      </w:r>
      <w:r>
        <w:lastRenderedPageBreak/>
        <w:t>or summed) and passed through one final dense/linear layer, which brings the combined dimensionality back down to match the original input shape and adds a bit of nonlinearity in the process.</w:t>
      </w:r>
    </w:p>
    <w:p w14:paraId="452DCB5F" w14:textId="77777777" w:rsidR="001E220D" w:rsidRDefault="00000000" w:rsidP="00DD0DE6">
      <w:pPr>
        <w:pBdr>
          <w:left w:val="single" w:sz="24" w:space="8" w:color="8B2E2E"/>
        </w:pBdr>
        <w:shd w:val="clear" w:color="auto" w:fill="FBEEE6"/>
        <w:spacing w:after="60"/>
        <w:ind w:left="100"/>
        <w:jc w:val="both"/>
      </w:pPr>
      <w:r>
        <w:t>Why concatenate rather than average? Averaging would treat every head — and implicitly every token — as equally important, which directly defeats the purpose of attention: the entire point is to let some relationships dominate and others fade, not flatten everything to the same weight. This is the same failure mode that made older techniques like bag-of-words weak in classical NLP. Concatenation keeps each head's distinct signal intact; the final dense layer is what learns how to recombine those distinct signals usefully.</w:t>
      </w:r>
    </w:p>
    <w:p w14:paraId="08DFC971" w14:textId="77777777" w:rsidR="001E220D" w:rsidRDefault="00000000" w:rsidP="00DD0DE6">
      <w:pPr>
        <w:pBdr>
          <w:left w:val="single" w:sz="24" w:space="8" w:color="8B2E2E"/>
        </w:pBdr>
        <w:shd w:val="clear" w:color="auto" w:fill="FBEEE6"/>
        <w:spacing w:after="220"/>
        <w:ind w:left="100"/>
        <w:jc w:val="both"/>
      </w:pPr>
      <w:r>
        <w:t xml:space="preserve">More heads </w:t>
      </w:r>
      <w:proofErr w:type="gramStart"/>
      <w:r>
        <w:t>means</w:t>
      </w:r>
      <w:proofErr w:type="gramEnd"/>
      <w:r>
        <w:t xml:space="preserve"> more matrices, which means more trainable parameters, which means more training time — that part is an unavoidable cost. But there's a direct payoff for that cost: more parameters generally </w:t>
      </w:r>
      <w:proofErr w:type="gramStart"/>
      <w:r>
        <w:t>buys</w:t>
      </w:r>
      <w:proofErr w:type="gramEnd"/>
      <w:r>
        <w:t xml:space="preserve"> better training stability, meaning your loss moves more reliably toward the global minimum rather than bouncing around. This was a real concern back in 2015–16 when hardware was the bottleneck; from 2017–18 onward, better hardware made the extra parameter cost far more affordable, which is part of why this architecture became practical when it did.</w:t>
      </w:r>
    </w:p>
    <w:p w14:paraId="0C3FA3EF" w14:textId="77777777" w:rsidR="001E220D" w:rsidRDefault="00000000" w:rsidP="00DD0DE6">
      <w:pPr>
        <w:spacing w:after="200" w:line="300" w:lineRule="auto"/>
        <w:jc w:val="both"/>
      </w:pPr>
      <w:r>
        <w:t>A visualization worth remembering even without the tool in front of you: when you inspect real attention weights head by head (the class used a Tensor2Tensor notebook built on this exact paper), switching a single head on or off visibly changes which words a given token connects most strongly to. One head might connect "cross" most strongly to "animal"; a different head connects the same word most strongly to "street." No two heads produce identical connection patterns — if they did, there'd be no point running more than one.</w:t>
      </w:r>
    </w:p>
    <w:p w14:paraId="0080BDED" w14:textId="77777777" w:rsidR="001E220D" w:rsidRDefault="00000000" w:rsidP="00DD0DE6">
      <w:pPr>
        <w:pStyle w:val="Heading1"/>
        <w:jc w:val="both"/>
      </w:pPr>
      <w:r>
        <w:t>3. Encoder-Only vs. Decoder-Only: An Interview-Critical Distinction</w:t>
      </w:r>
    </w:p>
    <w:p w14:paraId="6602E61E" w14:textId="77777777" w:rsidR="001E220D" w:rsidRDefault="00000000" w:rsidP="00DD0DE6">
      <w:pPr>
        <w:pBdr>
          <w:left w:val="single" w:sz="24" w:space="8" w:color="8B2E2E"/>
        </w:pBdr>
        <w:shd w:val="clear" w:color="auto" w:fill="FBEEE6"/>
        <w:spacing w:before="160" w:after="60"/>
        <w:ind w:left="100"/>
        <w:jc w:val="both"/>
      </w:pPr>
      <w:r>
        <w:rPr>
          <w:b/>
          <w:bCs/>
          <w:color w:val="8B2E2E"/>
        </w:rPr>
        <w:t>⭑ Interview-critical</w:t>
      </w:r>
    </w:p>
    <w:p w14:paraId="1842EF82" w14:textId="77777777" w:rsidR="001E220D" w:rsidRDefault="00000000" w:rsidP="00DD0DE6">
      <w:pPr>
        <w:pBdr>
          <w:left w:val="single" w:sz="24" w:space="8" w:color="8B2E2E"/>
        </w:pBdr>
        <w:shd w:val="clear" w:color="auto" w:fill="FBEEE6"/>
        <w:spacing w:after="60"/>
        <w:ind w:left="100"/>
        <w:jc w:val="both"/>
      </w:pPr>
      <w:r>
        <w:t>Encoders are bidirectional — they can look at tokens both before and after the current position, which makes them well suited to tasks like masked-language-modeling or fill-in-the-blank, where the surrounding context on both sides genuinely matters. BERT and its variants are encoder-only architectures for exactly this reason.</w:t>
      </w:r>
    </w:p>
    <w:p w14:paraId="5AEB0EAA" w14:textId="77777777" w:rsidR="001E220D" w:rsidRDefault="00000000" w:rsidP="00DD0DE6">
      <w:pPr>
        <w:pBdr>
          <w:left w:val="single" w:sz="24" w:space="8" w:color="8B2E2E"/>
        </w:pBdr>
        <w:shd w:val="clear" w:color="auto" w:fill="FBEEE6"/>
        <w:spacing w:after="60"/>
        <w:ind w:left="100"/>
        <w:jc w:val="both"/>
      </w:pPr>
      <w:r>
        <w:t xml:space="preserve">Decoders are unidirectional — they only look backward at past tokens, which is exactly what next-token prediction needs. Nearly every current-generation LLM (GPT, and the same pattern followed by other major labs) is decoder-only. This comes up constantly in interviews: if you're asked what architecture a given model family is based on, the answer is almost always "decoder-only," and knowing why (the model </w:t>
      </w:r>
      <w:proofErr w:type="gramStart"/>
      <w:r>
        <w:t>only ever</w:t>
      </w:r>
      <w:proofErr w:type="gramEnd"/>
      <w:r>
        <w:t xml:space="preserve"> needs its own past output to predict the next token) is the part that actually demonstrates understanding.</w:t>
      </w:r>
    </w:p>
    <w:p w14:paraId="069E71B1" w14:textId="77777777" w:rsidR="001E220D" w:rsidRDefault="00000000" w:rsidP="00DD0DE6">
      <w:pPr>
        <w:pBdr>
          <w:left w:val="single" w:sz="24" w:space="8" w:color="8B2E2E"/>
        </w:pBdr>
        <w:shd w:val="clear" w:color="auto" w:fill="FBEEE6"/>
        <w:spacing w:after="220"/>
        <w:ind w:left="100"/>
        <w:jc w:val="both"/>
      </w:pPr>
      <w:r>
        <w:t xml:space="preserve">Full encoder-decoder architectures are reserved for </w:t>
      </w:r>
      <w:proofErr w:type="gramStart"/>
      <w:r>
        <w:t>genuinely</w:t>
      </w:r>
      <w:proofErr w:type="gramEnd"/>
      <w:r>
        <w:t xml:space="preserve"> sequence-to-sequence tasks — machine translation, text summarization — where you need to fully understand one complete sequence (via the encoder) before generating a different, separate sequence (via the decoder). Frame your answer around the use case: bidirectional need → encoder; past-only need → decoder; transform-one-sequence-into-another need → both.</w:t>
      </w:r>
    </w:p>
    <w:p w14:paraId="077C564A" w14:textId="77777777" w:rsidR="001E220D" w:rsidRDefault="00000000" w:rsidP="00DD0DE6">
      <w:pPr>
        <w:pStyle w:val="Heading1"/>
        <w:jc w:val="both"/>
      </w:pPr>
      <w:r>
        <w:t xml:space="preserve">4. The Paper: "Attention Is All You </w:t>
      </w:r>
      <w:proofErr w:type="gramStart"/>
      <w:r>
        <w:t>Need" —</w:t>
      </w:r>
      <w:proofErr w:type="gramEnd"/>
      <w:r>
        <w:t xml:space="preserve"> Reading the Abstract</w:t>
      </w:r>
    </w:p>
    <w:p w14:paraId="48071732" w14:textId="77777777" w:rsidR="001E220D" w:rsidRDefault="00000000" w:rsidP="00DD0DE6">
      <w:pPr>
        <w:spacing w:after="200" w:line="300" w:lineRule="auto"/>
        <w:jc w:val="both"/>
      </w:pPr>
      <w:r>
        <w:t>Today's session moves into the actual paper, starting with its abstract — worth reading carefully because it previews everything the rest of the paper unpacks. "Sequence transduction" simply means transforming one sequence into another (translating one language's sentence into another's, for instance) — this framing predates the paper itself; the term and the underlying encoder-decoder pattern were already established through architectures built on RNNs and CNNs, connected via an earlier form of attention now called cross-attention (its own separate mechanism, covered in a future session, used specifically to connect an encoder to a decoder).</w:t>
      </w:r>
    </w:p>
    <w:p w14:paraId="5311A97D" w14:textId="77777777" w:rsidR="001E220D" w:rsidRDefault="00000000" w:rsidP="00DD0DE6">
      <w:pPr>
        <w:spacing w:after="200" w:line="300" w:lineRule="auto"/>
        <w:jc w:val="both"/>
      </w:pPr>
      <w:r>
        <w:lastRenderedPageBreak/>
        <w:t>What's genuinely new in this paper is the claim in its second sentence: a network architecture based purely on attention mechanisms, dispensing with recurrence (RNNs) and convolution (CNNs) entirely. Removing recurrence has a direct practical payoff worth understanding precisely: RNN-based architectures process tokens sequentially, layer depending on layer, step depending on the previous step — but multi-head attention has no such dependency. Every head computes independently and in parallel, with no head waiting on another, which is exactly what "more parallelizable" means in the abstract, and it's a direct consequence of the multi-head mechanism from Section 2.</w:t>
      </w:r>
    </w:p>
    <w:p w14:paraId="679FEF75" w14:textId="77777777" w:rsidR="001E220D" w:rsidRDefault="00000000" w:rsidP="00DD0DE6">
      <w:pPr>
        <w:pBdr>
          <w:left w:val="single" w:sz="24" w:space="8" w:color="8B2E2E"/>
        </w:pBdr>
        <w:shd w:val="clear" w:color="auto" w:fill="FBEEE6"/>
        <w:spacing w:before="160" w:after="60"/>
        <w:ind w:left="100"/>
        <w:jc w:val="both"/>
      </w:pPr>
      <w:r>
        <w:rPr>
          <w:b/>
          <w:bCs/>
          <w:color w:val="8B2E2E"/>
        </w:rPr>
        <w:t>⭑ Important — why this became the field's landmark paper</w:t>
      </w:r>
    </w:p>
    <w:p w14:paraId="7DB24D8B" w14:textId="77777777" w:rsidR="001E220D" w:rsidRDefault="00000000" w:rsidP="00DD0DE6">
      <w:pPr>
        <w:pBdr>
          <w:left w:val="single" w:sz="24" w:space="8" w:color="8B2E2E"/>
        </w:pBdr>
        <w:shd w:val="clear" w:color="auto" w:fill="FBEEE6"/>
        <w:spacing w:after="60"/>
        <w:ind w:left="100"/>
        <w:jc w:val="both"/>
      </w:pPr>
      <w:r>
        <w:t>The abstract reports results using BLEU, one of the most established metrics in classical machine-translation evaluation — practically, BLEU scores on open benchmark datasets almost never exceed the 90s, and prior to this paper, state-of-the-art English-to-German scores sat in roughly the 20s–30s range. The paper reports 28.4 BLEU on WMT 2014 English-to-German (a modest ~2-point improvement, including over model ensembles) but 41.8 BLEU on WMT 2014 English-to-French — a new single-model state-of-the-art, and a genuinely large jump over the prior range.</w:t>
      </w:r>
    </w:p>
    <w:p w14:paraId="3C55B8DE" w14:textId="77777777" w:rsidR="001E220D" w:rsidRDefault="00000000" w:rsidP="00DD0DE6">
      <w:pPr>
        <w:pBdr>
          <w:left w:val="single" w:sz="24" w:space="8" w:color="8B2E2E"/>
        </w:pBdr>
        <w:shd w:val="clear" w:color="auto" w:fill="FBEEE6"/>
        <w:spacing w:after="220"/>
        <w:ind w:left="100"/>
        <w:jc w:val="both"/>
      </w:pPr>
      <w:r>
        <w:t xml:space="preserve">Just as significant as the score itself is the training cost behind it: 3.5 days on 8 GPUs, on a dataset in the range of several gigabytes. For context, architectures immediately prior to this one could take on the order of two months to train on comparable tasks — so this result represented a step-change in both quality and training efficiency at once, which is exactly the kind of large, hard-to-ignore gap that turns a paper into the reference point an entire field organizes around (the same role </w:t>
      </w:r>
      <w:proofErr w:type="spellStart"/>
      <w:r>
        <w:t>ResNet</w:t>
      </w:r>
      <w:proofErr w:type="spellEnd"/>
      <w:r>
        <w:t xml:space="preserve"> played for CNNs).</w:t>
      </w:r>
    </w:p>
    <w:p w14:paraId="3FA201BA" w14:textId="77777777" w:rsidR="001E220D" w:rsidRDefault="00000000" w:rsidP="00DD0DE6">
      <w:pPr>
        <w:pStyle w:val="Heading1"/>
        <w:jc w:val="both"/>
      </w:pPr>
      <w:r>
        <w:t>5. The Architecture Diagram: Encoder and Decoder, at a Glance</w:t>
      </w:r>
    </w:p>
    <w:p w14:paraId="452917AF" w14:textId="77777777" w:rsidR="001E220D" w:rsidRDefault="00000000" w:rsidP="00DD0DE6">
      <w:pPr>
        <w:spacing w:after="200" w:line="300" w:lineRule="auto"/>
        <w:jc w:val="both"/>
      </w:pPr>
      <w:r>
        <w:t xml:space="preserve">The paper's central figure has two stacked halves: the left-hand block is the </w:t>
      </w:r>
      <w:proofErr w:type="gramStart"/>
      <w:r>
        <w:t>encoder,</w:t>
      </w:r>
      <w:proofErr w:type="gramEnd"/>
      <w:r>
        <w:t xml:space="preserve"> the right-hand block is the decoder. Today's session stays entirely on the encoder side — the decoder is next session's topic. On the encoder side, inputs first become embeddings (the vectorization step from earlier sessions), then get combined with positional encoding through simple addition — the encoding is a separate vector of the exact same shape as the embedding, added </w:t>
      </w:r>
      <w:proofErr w:type="gramStart"/>
      <w:r>
        <w:t>element-wise</w:t>
      </w:r>
      <w:proofErr w:type="gramEnd"/>
      <w:r>
        <w:t>, which is how order information finally enters the picture despite self-attention itself being order-blind. That combined vector then flows into multi-head attention.</w:t>
      </w:r>
    </w:p>
    <w:p w14:paraId="547E699E" w14:textId="77777777" w:rsidR="001E220D" w:rsidRDefault="00000000" w:rsidP="00DD0DE6">
      <w:pPr>
        <w:spacing w:after="200" w:line="300" w:lineRule="auto"/>
        <w:jc w:val="both"/>
      </w:pPr>
      <w:r>
        <w:t>Both the encoder and decoder blocks are labeled "</w:t>
      </w:r>
      <w:proofErr w:type="spellStart"/>
      <w:r>
        <w:t>Nx</w:t>
      </w:r>
      <w:proofErr w:type="spellEnd"/>
      <w:r>
        <w:t>" in the diagram, meaning the entire block — not just one layer inside it — repeats N times end to end, with the output of one block feeding directly into the next as input. N is a hyperparameter; the paper uses 6. Nothing about the block's internal structure changes between repetitions — only the specific input values change, and each repetition has its own independently trained weights.</w:t>
      </w:r>
    </w:p>
    <w:p w14:paraId="10A6B276" w14:textId="77777777" w:rsidR="001E220D" w:rsidRDefault="00000000" w:rsidP="00DD0DE6">
      <w:pPr>
        <w:pStyle w:val="Heading1"/>
        <w:jc w:val="both"/>
      </w:pPr>
      <w:r>
        <w:t>6. Scaled Dot-Product Attention: The Formula, Explained</w:t>
      </w:r>
    </w:p>
    <w:p w14:paraId="66190719" w14:textId="77777777" w:rsidR="001E220D" w:rsidRDefault="00000000" w:rsidP="00DD0DE6">
      <w:pPr>
        <w:spacing w:after="200" w:line="300" w:lineRule="auto"/>
        <w:jc w:val="both"/>
      </w:pPr>
      <w:r>
        <w:t xml:space="preserve">The paper names the mechanism you already know "Scaled Dot-Product Attention": </w:t>
      </w:r>
      <w:proofErr w:type="gramStart"/>
      <w:r>
        <w:t>Attention(</w:t>
      </w:r>
      <w:proofErr w:type="gramEnd"/>
      <w:r>
        <w:t xml:space="preserve">Q, K, V) = </w:t>
      </w:r>
      <w:proofErr w:type="spellStart"/>
      <w:proofErr w:type="gramStart"/>
      <w:r>
        <w:t>softmax</w:t>
      </w:r>
      <w:proofErr w:type="spellEnd"/>
      <w:r>
        <w:t>(</w:t>
      </w:r>
      <w:proofErr w:type="gramEnd"/>
      <w:r>
        <w:t>QKᵀ / √</w:t>
      </w:r>
      <w:proofErr w:type="spellStart"/>
      <w:r>
        <w:t>d_k</w:t>
      </w:r>
      <w:proofErr w:type="spellEnd"/>
      <w:r>
        <w:t>) · V. Strip away the scaling and the (optional, decoder-only) masking, and this is precisely last session's Key/Query/Value pipeline — the only genuinely new piece is the division by √</w:t>
      </w:r>
      <w:proofErr w:type="spellStart"/>
      <w:r>
        <w:t>d_k</w:t>
      </w:r>
      <w:proofErr w:type="spellEnd"/>
      <w:r>
        <w:t>.</w:t>
      </w:r>
    </w:p>
    <w:p w14:paraId="693226B1" w14:textId="77777777" w:rsidR="001E220D" w:rsidRDefault="00000000" w:rsidP="00DD0DE6">
      <w:pPr>
        <w:pBdr>
          <w:left w:val="single" w:sz="24" w:space="8" w:color="8B2E2E"/>
        </w:pBdr>
        <w:shd w:val="clear" w:color="auto" w:fill="FBEEE6"/>
        <w:spacing w:before="160" w:after="60"/>
        <w:ind w:left="100"/>
        <w:jc w:val="both"/>
      </w:pPr>
      <w:r>
        <w:rPr>
          <w:b/>
          <w:bCs/>
          <w:color w:val="8B2E2E"/>
        </w:rPr>
        <w:t>⭑ Important — why the scaling factor exists</w:t>
      </w:r>
    </w:p>
    <w:p w14:paraId="4403419F" w14:textId="77777777" w:rsidR="001E220D" w:rsidRDefault="00000000" w:rsidP="00DD0DE6">
      <w:pPr>
        <w:pBdr>
          <w:left w:val="single" w:sz="24" w:space="8" w:color="8B2E2E"/>
        </w:pBdr>
        <w:shd w:val="clear" w:color="auto" w:fill="FBEEE6"/>
        <w:spacing w:after="60"/>
        <w:ind w:left="100"/>
        <w:jc w:val="both"/>
      </w:pPr>
      <w:r>
        <w:lastRenderedPageBreak/>
        <w:t xml:space="preserve">During the raw dot-product step (QKᵀ), it's common for a handful of values to come out much larger than the rest — this happens more than a quarter of the time in practice. Left unscaled, those few large values dominate once </w:t>
      </w:r>
      <w:proofErr w:type="spellStart"/>
      <w:r>
        <w:t>softmax</w:t>
      </w:r>
      <w:proofErr w:type="spellEnd"/>
      <w:r>
        <w:t xml:space="preserve"> is applied: </w:t>
      </w:r>
      <w:proofErr w:type="spellStart"/>
      <w:r>
        <w:t>softmax</w:t>
      </w:r>
      <w:proofErr w:type="spellEnd"/>
      <w:r>
        <w:t xml:space="preserve"> pushes big inputs toward probability 1 and small inputs toward probability 0, which is exactly the behavior you want for a normalized attention weight, but it becomes a problem when the raw scores were already unevenly large to begin with. This effect is called </w:t>
      </w:r>
      <w:proofErr w:type="spellStart"/>
      <w:r>
        <w:t>softmax</w:t>
      </w:r>
      <w:proofErr w:type="spellEnd"/>
      <w:r>
        <w:t xml:space="preserve"> saturation.</w:t>
      </w:r>
    </w:p>
    <w:p w14:paraId="4BF94B20" w14:textId="77777777" w:rsidR="001E220D" w:rsidRDefault="00000000" w:rsidP="00DD0DE6">
      <w:pPr>
        <w:pBdr>
          <w:left w:val="single" w:sz="24" w:space="8" w:color="8B2E2E"/>
        </w:pBdr>
        <w:shd w:val="clear" w:color="auto" w:fill="FBEEE6"/>
        <w:spacing w:after="60"/>
        <w:ind w:left="100"/>
        <w:jc w:val="both"/>
      </w:pPr>
      <w:r>
        <w:t xml:space="preserve">Saturation directly damages training, and the paper says as much in its own text: for large values of </w:t>
      </w:r>
      <w:proofErr w:type="spellStart"/>
      <w:r>
        <w:t>d_k</w:t>
      </w:r>
      <w:proofErr w:type="spellEnd"/>
      <w:r>
        <w:t xml:space="preserve">, the dot products "grow large in magnitude, pushing the </w:t>
      </w:r>
      <w:proofErr w:type="spellStart"/>
      <w:r>
        <w:t>softmax</w:t>
      </w:r>
      <w:proofErr w:type="spellEnd"/>
      <w:r>
        <w:t xml:space="preserve"> into regions where it has extremely small gradients." In the saturated regions, the gradient used for backpropagation is close to zero — so weights connected to those </w:t>
      </w:r>
      <w:proofErr w:type="gramStart"/>
      <w:r>
        <w:t>under-weighted</w:t>
      </w:r>
      <w:proofErr w:type="gramEnd"/>
      <w:r>
        <w:t xml:space="preserve"> tokens barely update at all, meaning part of the sequence effectively stops being learned from. Dividing by √</w:t>
      </w:r>
      <w:proofErr w:type="spellStart"/>
      <w:r>
        <w:t>d_k</w:t>
      </w:r>
      <w:proofErr w:type="spellEnd"/>
      <w:r>
        <w:t xml:space="preserve"> rescales the raw scores down before </w:t>
      </w:r>
      <w:proofErr w:type="spellStart"/>
      <w:r>
        <w:t>softmax</w:t>
      </w:r>
      <w:proofErr w:type="spellEnd"/>
      <w:r>
        <w:t xml:space="preserve"> ever sees them, meaningfully reducing this variance (roughly 20–30% in practice) and keeping gradients usable across the whole score matrix rather than concentrated in a few saturated corners.</w:t>
      </w:r>
    </w:p>
    <w:p w14:paraId="35C3E6B6" w14:textId="77777777" w:rsidR="001E220D" w:rsidRDefault="00000000" w:rsidP="00DD0DE6">
      <w:pPr>
        <w:pBdr>
          <w:left w:val="single" w:sz="24" w:space="8" w:color="8B2E2E"/>
        </w:pBdr>
        <w:shd w:val="clear" w:color="auto" w:fill="FBEEE6"/>
        <w:spacing w:after="220"/>
        <w:ind w:left="100"/>
        <w:jc w:val="both"/>
      </w:pPr>
      <w:proofErr w:type="spellStart"/>
      <w:r>
        <w:t>d_k</w:t>
      </w:r>
      <w:proofErr w:type="spellEnd"/>
      <w:r>
        <w:t xml:space="preserve"> is the embedding dimension of the Keys — and since Keys, Queries, and Values are all projections of the same underlying vectors with matching shapes, </w:t>
      </w:r>
      <w:proofErr w:type="spellStart"/>
      <w:r>
        <w:t>d_k</w:t>
      </w:r>
      <w:proofErr w:type="spellEnd"/>
      <w:r>
        <w:t xml:space="preserve"> = </w:t>
      </w:r>
      <w:proofErr w:type="spellStart"/>
      <w:r>
        <w:t>d_v</w:t>
      </w:r>
      <w:proofErr w:type="spellEnd"/>
      <w:r>
        <w:t xml:space="preserve"> in practice (Queries are dimensionally identical too, even though conceptually only a single token's Query is being compared at a time, versus the full set of Keys and Values). In the paper, this dimension is 512 before any per-head splitting happens.</w:t>
      </w:r>
    </w:p>
    <w:p w14:paraId="3776B706" w14:textId="77777777" w:rsidR="001E220D" w:rsidRDefault="00000000" w:rsidP="00DD0DE6">
      <w:pPr>
        <w:pStyle w:val="Heading1"/>
        <w:jc w:val="both"/>
      </w:pPr>
      <w:r>
        <w:t>7. Multi-Head Attention: The Formula, and Why Splitting Isn't Losing Information</w:t>
      </w:r>
    </w:p>
    <w:p w14:paraId="60583207" w14:textId="77777777" w:rsidR="001E220D" w:rsidRDefault="00000000" w:rsidP="00DD0DE6">
      <w:pPr>
        <w:spacing w:after="200" w:line="300" w:lineRule="auto"/>
        <w:jc w:val="both"/>
      </w:pPr>
      <w:r>
        <w:t xml:space="preserve">The paper's multi-head formula is </w:t>
      </w:r>
      <w:proofErr w:type="spellStart"/>
      <w:proofErr w:type="gramStart"/>
      <w:r>
        <w:t>MultiHead</w:t>
      </w:r>
      <w:proofErr w:type="spellEnd"/>
      <w:r>
        <w:t>(</w:t>
      </w:r>
      <w:proofErr w:type="gramEnd"/>
      <w:r>
        <w:t xml:space="preserve">Q, K, V) = </w:t>
      </w:r>
      <w:proofErr w:type="spellStart"/>
      <w:proofErr w:type="gramStart"/>
      <w:r>
        <w:t>Concat</w:t>
      </w:r>
      <w:proofErr w:type="spellEnd"/>
      <w:r>
        <w:t>(</w:t>
      </w:r>
      <w:proofErr w:type="gramEnd"/>
      <w:r>
        <w:t xml:space="preserve">head₁, ..., </w:t>
      </w:r>
      <w:proofErr w:type="spellStart"/>
      <w:r>
        <w:t>head_</w:t>
      </w:r>
      <w:proofErr w:type="gramStart"/>
      <w:r>
        <w:t>h</w:t>
      </w:r>
      <w:proofErr w:type="spellEnd"/>
      <w:r>
        <w:t>)·</w:t>
      </w:r>
      <w:proofErr w:type="gramEnd"/>
      <w:r>
        <w:t xml:space="preserve">Wᴼ, where each </w:t>
      </w:r>
      <w:proofErr w:type="spellStart"/>
      <w:r>
        <w:t>head_i</w:t>
      </w:r>
      <w:proofErr w:type="spellEnd"/>
      <w:r>
        <w:t xml:space="preserve"> = </w:t>
      </w:r>
      <w:proofErr w:type="gramStart"/>
      <w:r>
        <w:t>Attention(</w:t>
      </w:r>
      <w:proofErr w:type="spellStart"/>
      <w:proofErr w:type="gramEnd"/>
      <w:r>
        <w:t>QW_i^Q</w:t>
      </w:r>
      <w:proofErr w:type="spellEnd"/>
      <w:r>
        <w:t xml:space="preserve">, </w:t>
      </w:r>
      <w:proofErr w:type="spellStart"/>
      <w:r>
        <w:t>KW_i^K</w:t>
      </w:r>
      <w:proofErr w:type="spellEnd"/>
      <w:r>
        <w:t xml:space="preserve">, </w:t>
      </w:r>
      <w:proofErr w:type="spellStart"/>
      <w:r>
        <w:t>VW_i^V</w:t>
      </w:r>
      <w:proofErr w:type="spellEnd"/>
      <w:r>
        <w:t>). Read left to right, this is exactly Section 2's mechanism: each head applies its own learned linear projection (</w:t>
      </w:r>
      <w:proofErr w:type="spellStart"/>
      <w:r>
        <w:t>W_i^Q</w:t>
      </w:r>
      <w:proofErr w:type="spellEnd"/>
      <w:r>
        <w:t xml:space="preserve">, </w:t>
      </w:r>
      <w:proofErr w:type="spellStart"/>
      <w:r>
        <w:t>W_i^K</w:t>
      </w:r>
      <w:proofErr w:type="spellEnd"/>
      <w:r>
        <w:t xml:space="preserve">, </w:t>
      </w:r>
      <w:proofErr w:type="spellStart"/>
      <w:r>
        <w:t>W_i^V</w:t>
      </w:r>
      <w:proofErr w:type="spellEnd"/>
      <w:r>
        <w:t>) to Q, K, and V, runs the full scaled dot-product attention independently, and all the resulting head outputs get concatenated and passed through one shared output projection Wᴼ to restore the original dimensionality.</w:t>
      </w:r>
    </w:p>
    <w:p w14:paraId="32841002" w14:textId="77777777" w:rsidR="001E220D" w:rsidRDefault="00000000" w:rsidP="00DD0DE6">
      <w:pPr>
        <w:pBdr>
          <w:left w:val="single" w:sz="24" w:space="8" w:color="8B2E2E"/>
        </w:pBdr>
        <w:shd w:val="clear" w:color="auto" w:fill="FBEEE6"/>
        <w:spacing w:before="160" w:after="60"/>
        <w:ind w:left="100"/>
        <w:jc w:val="both"/>
      </w:pPr>
      <w:r>
        <w:rPr>
          <w:b/>
          <w:bCs/>
          <w:color w:val="8B2E2E"/>
        </w:rPr>
        <w:t>⭑ Important — the per-head dimensions, and why this is a factorization, not a reduction</w:t>
      </w:r>
    </w:p>
    <w:p w14:paraId="0F66F1EC" w14:textId="77777777" w:rsidR="001E220D" w:rsidRDefault="00000000" w:rsidP="00DD0DE6">
      <w:pPr>
        <w:pBdr>
          <w:left w:val="single" w:sz="24" w:space="8" w:color="8B2E2E"/>
        </w:pBdr>
        <w:shd w:val="clear" w:color="auto" w:fill="FBEEE6"/>
        <w:spacing w:after="60"/>
        <w:ind w:left="100"/>
        <w:jc w:val="both"/>
      </w:pPr>
      <w:r>
        <w:t xml:space="preserve">The paper's specific numbers: </w:t>
      </w:r>
      <w:proofErr w:type="spellStart"/>
      <w:r>
        <w:t>d_model</w:t>
      </w:r>
      <w:proofErr w:type="spellEnd"/>
      <w:r>
        <w:t xml:space="preserve"> = 512 (the full embedding dimension), h = 8 (number of heads), and each head's internal dimension is </w:t>
      </w:r>
      <w:proofErr w:type="spellStart"/>
      <w:r>
        <w:t>d_k</w:t>
      </w:r>
      <w:proofErr w:type="spellEnd"/>
      <w:r>
        <w:t xml:space="preserve"> = </w:t>
      </w:r>
      <w:proofErr w:type="spellStart"/>
      <w:r>
        <w:t>d_v</w:t>
      </w:r>
      <w:proofErr w:type="spellEnd"/>
      <w:r>
        <w:t xml:space="preserve"> = </w:t>
      </w:r>
      <w:proofErr w:type="spellStart"/>
      <w:r>
        <w:t>d_model</w:t>
      </w:r>
      <w:proofErr w:type="spellEnd"/>
      <w:r>
        <w:t xml:space="preserve"> / h = 64. It's tempting to describe this as "reducing" the 512-dimensional representation down to 64 per head — but that framing is misleading and worth correcting explicitly: nothing is thrown away. This is a factorization — the same total information is split into 8 parallel, smaller pieces that get fully recombined at the end via concatenation, rather than any piece being discarded.</w:t>
      </w:r>
    </w:p>
    <w:p w14:paraId="7B5BB25D" w14:textId="77777777" w:rsidR="001E220D" w:rsidRDefault="00000000" w:rsidP="00DD0DE6">
      <w:pPr>
        <w:pBdr>
          <w:left w:val="single" w:sz="24" w:space="8" w:color="8B2E2E"/>
        </w:pBdr>
        <w:shd w:val="clear" w:color="auto" w:fill="FBEEE6"/>
        <w:spacing w:after="60"/>
        <w:ind w:left="100"/>
        <w:jc w:val="both"/>
      </w:pPr>
      <w:r>
        <w:t xml:space="preserve">The clean analogy is factoring a small matrix: a 3×3 matrix can be broken into a 1×3 piece and a 3×1 piece and reconstructed </w:t>
      </w:r>
      <w:proofErr w:type="spellStart"/>
      <w:r>
        <w:t>losslessly</w:t>
      </w:r>
      <w:proofErr w:type="spellEnd"/>
      <w:r>
        <w:t xml:space="preserve"> — hardware generally handles several smaller parallel operations faster and more efficiently than one large sequential one, which is exactly the computational benefit here. The paper states this directly: because of the reduced per-head dimension, the total computational cost of multi-head attention with h heads ends up comparable to a single full-dimensional attention pass — you get 8 independent "views" of the relationships in the data for roughly the cost of one, precisely because the work is factorized rather than duplicated in full at every head.</w:t>
      </w:r>
    </w:p>
    <w:p w14:paraId="07D68C81" w14:textId="77777777" w:rsidR="001E220D" w:rsidRDefault="00000000" w:rsidP="00DD0DE6">
      <w:pPr>
        <w:pBdr>
          <w:left w:val="single" w:sz="24" w:space="8" w:color="8B2E2E"/>
        </w:pBdr>
        <w:shd w:val="clear" w:color="auto" w:fill="FBEEE6"/>
        <w:spacing w:after="220"/>
        <w:ind w:left="100"/>
        <w:jc w:val="both"/>
      </w:pPr>
      <w:r>
        <w:t>This has a practical trade-off worth remembering as a rule of thumb: don't let the per-head dimension (</w:t>
      </w:r>
      <w:proofErr w:type="spellStart"/>
      <w:r>
        <w:t>d_model</w:t>
      </w:r>
      <w:proofErr w:type="spellEnd"/>
      <w:r>
        <w:t xml:space="preserve"> / h) get too small. Push it much below roughly 50 and heads tend to start "</w:t>
      </w:r>
      <w:proofErr w:type="gramStart"/>
      <w:r>
        <w:t>forgetting" —</w:t>
      </w:r>
      <w:proofErr w:type="gramEnd"/>
      <w:r>
        <w:t xml:space="preserve"> attention quality measurably degrades. Common real configurations stay comfortably above that line (512/8 = 64, 768/12 = </w:t>
      </w:r>
      <w:proofErr w:type="gramStart"/>
      <w:r>
        <w:t>64) —</w:t>
      </w:r>
      <w:proofErr w:type="gramEnd"/>
      <w:r>
        <w:t xml:space="preserve"> so if you're ever choosing head count for your own dimension size, check that </w:t>
      </w:r>
      <w:proofErr w:type="spellStart"/>
      <w:r>
        <w:t>d_model</w:t>
      </w:r>
      <w:proofErr w:type="spellEnd"/>
      <w:r>
        <w:t xml:space="preserve"> / h clears roughly 50 before finalizing it.</w:t>
      </w:r>
    </w:p>
    <w:p w14:paraId="4CD8E7EF" w14:textId="77777777" w:rsidR="001E220D" w:rsidRDefault="00000000" w:rsidP="00DD0DE6">
      <w:pPr>
        <w:pStyle w:val="Heading1"/>
        <w:jc w:val="both"/>
      </w:pPr>
      <w:r>
        <w:lastRenderedPageBreak/>
        <w:t>8. The Position-Wise Feed-Forward Network</w:t>
      </w:r>
    </w:p>
    <w:p w14:paraId="3846A912" w14:textId="77777777" w:rsidR="001E220D" w:rsidRDefault="00000000" w:rsidP="00DD0DE6">
      <w:pPr>
        <w:spacing w:after="200" w:line="300" w:lineRule="auto"/>
        <w:jc w:val="both"/>
      </w:pPr>
      <w:r>
        <w:t xml:space="preserve">Each encoder block includes a small feed-forward network applied identically at every position: FFN(x) = </w:t>
      </w:r>
      <w:proofErr w:type="gramStart"/>
      <w:r>
        <w:t>max(</w:t>
      </w:r>
      <w:proofErr w:type="gramEnd"/>
      <w:r>
        <w:t xml:space="preserve">0, </w:t>
      </w:r>
      <w:proofErr w:type="spellStart"/>
      <w:r>
        <w:t>xW</w:t>
      </w:r>
      <w:proofErr w:type="spellEnd"/>
      <w:r>
        <w:t>₁ + b</w:t>
      </w:r>
      <w:proofErr w:type="gramStart"/>
      <w:r>
        <w:t>₁)W</w:t>
      </w:r>
      <w:proofErr w:type="gramEnd"/>
      <w:r>
        <w:t xml:space="preserve">₂ + b₂ — in plain terms, a linear layer, a </w:t>
      </w:r>
      <w:proofErr w:type="spellStart"/>
      <w:r>
        <w:t>ReLU</w:t>
      </w:r>
      <w:proofErr w:type="spellEnd"/>
      <w:r>
        <w:t xml:space="preserve"> activation (</w:t>
      </w:r>
      <w:proofErr w:type="gramStart"/>
      <w:r>
        <w:t>max(</w:t>
      </w:r>
      <w:proofErr w:type="gramEnd"/>
      <w:r>
        <w:t>0, ·), which zeroes out negative values and is what actually makes this network nonlinear, unlike a plain linear pass-through), then a second linear layer. The paper's inner hidden layer uses 2048 neurons, considerably wider than the 512-dimensional model space it sits between, before the second linear layer projects back down to 512 to keep the block's overall input/output shape consistent.</w:t>
      </w:r>
    </w:p>
    <w:p w14:paraId="09D0EAF0" w14:textId="77777777" w:rsidR="001E220D" w:rsidRDefault="00000000" w:rsidP="00DD0DE6">
      <w:pPr>
        <w:pStyle w:val="Heading1"/>
        <w:jc w:val="both"/>
      </w:pPr>
      <w:r>
        <w:t>9. Assembling One Full Encoder Block</w:t>
      </w:r>
    </w:p>
    <w:p w14:paraId="2ED1B309" w14:textId="77777777" w:rsidR="001E220D" w:rsidRDefault="00000000" w:rsidP="00DD0DE6">
      <w:pPr>
        <w:spacing w:after="200" w:line="300" w:lineRule="auto"/>
        <w:jc w:val="both"/>
      </w:pPr>
      <w:r>
        <w:t>Putting every piece from today together, one encoder block runs as a short, repeatable sequence, written here as a chain of functions so the flow of residual connections is explicit: starting input X passes through multi-head attention to produce MHA(X), which then gets added back to the original X (a residual, or skip, connection) to produce X₀ = MHA(X) + X. That sum is then layer-normalized (not batch-normalized — the paper explicitly uses layer normalization) to produce X₀′. From there, X₀′ passes through the feed-forward network from Section 8 to produce FFN(X₀′), which again gets added back to X₀′ (a second residual connection) to produce X₀″ = FFN(X₀′) + X₀′, and that sum is layer-normalized one final time to produce the block's output, Y.</w:t>
      </w:r>
    </w:p>
    <w:p w14:paraId="3DCE1C70" w14:textId="77777777" w:rsidR="001E220D" w:rsidRDefault="00000000" w:rsidP="00DD0DE6">
      <w:pPr>
        <w:pBdr>
          <w:left w:val="single" w:sz="24" w:space="8" w:color="8B2E2E"/>
        </w:pBdr>
        <w:shd w:val="clear" w:color="auto" w:fill="FBEEE6"/>
        <w:spacing w:before="160" w:after="60"/>
        <w:ind w:left="100"/>
        <w:jc w:val="both"/>
      </w:pPr>
      <w:r>
        <w:rPr>
          <w:b/>
          <w:bCs/>
          <w:color w:val="8B2E2E"/>
        </w:rPr>
        <w:t>⭑ Important — why residual connections matter here specifically</w:t>
      </w:r>
    </w:p>
    <w:p w14:paraId="2725C90F" w14:textId="77777777" w:rsidR="001E220D" w:rsidRDefault="00000000" w:rsidP="00DD0DE6">
      <w:pPr>
        <w:pBdr>
          <w:left w:val="single" w:sz="24" w:space="8" w:color="8B2E2E"/>
        </w:pBdr>
        <w:shd w:val="clear" w:color="auto" w:fill="FBEEE6"/>
        <w:spacing w:after="220"/>
        <w:ind w:left="100"/>
        <w:jc w:val="both"/>
      </w:pPr>
      <w:r>
        <w:t xml:space="preserve">This "Add &amp; Norm" pattern — happening twice per block — is borrowed directly from the </w:t>
      </w:r>
      <w:proofErr w:type="spellStart"/>
      <w:r>
        <w:t>ResNet</w:t>
      </w:r>
      <w:proofErr w:type="spellEnd"/>
      <w:r>
        <w:t xml:space="preserve"> paper, where it was originally introduced to fight the vanishing-gradient problem. In a single isolated block, </w:t>
      </w:r>
      <w:proofErr w:type="gramStart"/>
      <w:r>
        <w:t>skip</w:t>
      </w:r>
      <w:proofErr w:type="gramEnd"/>
      <w:r>
        <w:t xml:space="preserve"> connections might look unnecessary. But remember Section 5: this entire block repeats </w:t>
      </w:r>
      <w:proofErr w:type="spellStart"/>
      <w:r>
        <w:t>Nx</w:t>
      </w:r>
      <w:proofErr w:type="spellEnd"/>
      <w:r>
        <w:t xml:space="preserve"> times (6, in the paper), stacked one after another. Stack enough layers without a mechanism to preserve the original signal, and gradients flowing backward through backpropagation shrink toward zero by the time they reach the earliest layers — the deeper network simply stops learning at its early layers. The residual connection gives the gradient a direct, short path back to the original input at every block, which is what keeps a 6-block-deep (or much deeper) stack trainable at all.</w:t>
      </w:r>
    </w:p>
    <w:p w14:paraId="6F9F0C27" w14:textId="77777777" w:rsidR="001E220D" w:rsidRDefault="00000000" w:rsidP="00DD0DE6">
      <w:pPr>
        <w:spacing w:after="200" w:line="300" w:lineRule="auto"/>
        <w:jc w:val="both"/>
      </w:pPr>
      <w:r>
        <w:t xml:space="preserve">Every encoder block is structurally identical — the same sequence of multi-head attention, add-and-norm, feed-forward, add-and-norm — but each of the </w:t>
      </w:r>
      <w:proofErr w:type="spellStart"/>
      <w:r>
        <w:t>Nx</w:t>
      </w:r>
      <w:proofErr w:type="spellEnd"/>
      <w:r>
        <w:t xml:space="preserve"> repetitions has its own independently trained weights, so stacking blocks isn't just running the same computation N times; it's N genuinely different transformations layered on top of each other. Only the final block's output, Y, moves on to the decoder — which is next session's topic.</w:t>
      </w:r>
    </w:p>
    <w:p w14:paraId="43A22DDA" w14:textId="77777777" w:rsidR="001E220D" w:rsidRDefault="00000000" w:rsidP="00DD0DE6">
      <w:pPr>
        <w:pStyle w:val="Heading1"/>
        <w:jc w:val="both"/>
      </w:pPr>
      <w:r>
        <w:t>10. Closing Notes / What's Next</w:t>
      </w:r>
    </w:p>
    <w:p w14:paraId="3FC5DD6F" w14:textId="77777777" w:rsidR="001E220D" w:rsidRDefault="00000000" w:rsidP="00DD0DE6">
      <w:pPr>
        <w:spacing w:after="200" w:line="300" w:lineRule="auto"/>
        <w:jc w:val="both"/>
      </w:pPr>
      <w:r>
        <w:t xml:space="preserve">Next session picks up with the decoder side of the </w:t>
      </w:r>
      <w:proofErr w:type="gramStart"/>
      <w:r>
        <w:t>architecture, and</w:t>
      </w:r>
      <w:proofErr w:type="gramEnd"/>
      <w:r>
        <w:t xml:space="preserve"> works through Jay Alammar's "Illustrated Transformer" blog post — one of the most widely used explainer references in the field — alongside continued reading of the paper itself. Positional encoding, still only briefly gestured at today, will also get its own proper treatment.</w:t>
      </w:r>
    </w:p>
    <w:p w14:paraId="24CCD1FA" w14:textId="77777777" w:rsidR="001E220D" w:rsidRDefault="00000000" w:rsidP="00DD0DE6">
      <w:pPr>
        <w:spacing w:after="200" w:line="300" w:lineRule="auto"/>
        <w:jc w:val="both"/>
      </w:pPr>
      <w:r>
        <w:t>There's no new formal assignment beyond continuing to review the paper sections covered today and revisiting the Key/Query/Value notebook from last session if any of the shape or dimension details (Section 6–7) still feel unclear.</w:t>
      </w:r>
    </w:p>
    <w:p w14:paraId="60A037D0" w14:textId="77777777" w:rsidR="001E220D" w:rsidRDefault="00000000" w:rsidP="00DD0DE6">
      <w:pPr>
        <w:pStyle w:val="Heading1"/>
        <w:jc w:val="both"/>
      </w:pPr>
      <w:r>
        <w:lastRenderedPageBreak/>
        <w:t>Quick-Reference Glossary</w:t>
      </w:r>
    </w:p>
    <w:tbl>
      <w:tblPr>
        <w:tblW w:w="9000" w:type="dxa"/>
        <w:tblBorders>
          <w:top w:val="single" w:sz="4" w:space="0" w:color="C9BBAE"/>
          <w:left w:val="single" w:sz="4" w:space="0" w:color="C9BBAE"/>
          <w:bottom w:val="single" w:sz="4" w:space="0" w:color="C9BBAE"/>
          <w:right w:val="single" w:sz="4" w:space="0" w:color="C9BBAE"/>
          <w:insideH w:val="single" w:sz="4" w:space="0" w:color="C9BBAE"/>
          <w:insideV w:val="single" w:sz="4" w:space="0" w:color="C9BBAE"/>
        </w:tblBorders>
        <w:tblCellMar>
          <w:left w:w="10" w:type="dxa"/>
          <w:right w:w="10" w:type="dxa"/>
        </w:tblCellMar>
        <w:tblLook w:val="04A0" w:firstRow="1" w:lastRow="0" w:firstColumn="1" w:lastColumn="0" w:noHBand="0" w:noVBand="1"/>
      </w:tblPr>
      <w:tblGrid>
        <w:gridCol w:w="3000"/>
        <w:gridCol w:w="6000"/>
      </w:tblGrid>
      <w:tr w:rsidR="001E220D" w14:paraId="26850829" w14:textId="77777777">
        <w:tblPrEx>
          <w:tblCellMar>
            <w:top w:w="0" w:type="dxa"/>
            <w:bottom w:w="0" w:type="dxa"/>
          </w:tblCellMar>
        </w:tblPrEx>
        <w:trPr>
          <w:tblHeader/>
        </w:trPr>
        <w:tc>
          <w:tcPr>
            <w:tcW w:w="3000" w:type="dxa"/>
            <w:shd w:val="clear" w:color="auto" w:fill="EDE3DA"/>
            <w:tcMar>
              <w:top w:w="80" w:type="dxa"/>
              <w:left w:w="100" w:type="dxa"/>
              <w:bottom w:w="80" w:type="dxa"/>
              <w:right w:w="100" w:type="dxa"/>
            </w:tcMar>
          </w:tcPr>
          <w:p w14:paraId="7D8A1826" w14:textId="77777777" w:rsidR="001E220D" w:rsidRDefault="00000000" w:rsidP="00DD0DE6">
            <w:pPr>
              <w:jc w:val="both"/>
            </w:pPr>
            <w:r>
              <w:rPr>
                <w:b/>
                <w:bCs/>
              </w:rPr>
              <w:t>Term</w:t>
            </w:r>
          </w:p>
        </w:tc>
        <w:tc>
          <w:tcPr>
            <w:tcW w:w="6000" w:type="dxa"/>
            <w:shd w:val="clear" w:color="auto" w:fill="EDE3DA"/>
            <w:tcMar>
              <w:top w:w="80" w:type="dxa"/>
              <w:left w:w="100" w:type="dxa"/>
              <w:bottom w:w="80" w:type="dxa"/>
              <w:right w:w="100" w:type="dxa"/>
            </w:tcMar>
          </w:tcPr>
          <w:p w14:paraId="35CD7818" w14:textId="77777777" w:rsidR="001E220D" w:rsidRDefault="00000000" w:rsidP="00DD0DE6">
            <w:pPr>
              <w:jc w:val="both"/>
            </w:pPr>
            <w:r>
              <w:rPr>
                <w:b/>
                <w:bCs/>
              </w:rPr>
              <w:t>Meaning</w:t>
            </w:r>
          </w:p>
        </w:tc>
      </w:tr>
      <w:tr w:rsidR="001E220D" w14:paraId="055921E9" w14:textId="77777777">
        <w:tblPrEx>
          <w:tblCellMar>
            <w:top w:w="0" w:type="dxa"/>
            <w:bottom w:w="0" w:type="dxa"/>
          </w:tblCellMar>
        </w:tblPrEx>
        <w:tc>
          <w:tcPr>
            <w:tcW w:w="3000" w:type="dxa"/>
            <w:tcMar>
              <w:top w:w="60" w:type="dxa"/>
              <w:left w:w="100" w:type="dxa"/>
              <w:bottom w:w="60" w:type="dxa"/>
              <w:right w:w="100" w:type="dxa"/>
            </w:tcMar>
          </w:tcPr>
          <w:p w14:paraId="5896E5C2" w14:textId="77777777" w:rsidR="001E220D" w:rsidRDefault="00000000" w:rsidP="00DD0DE6">
            <w:pPr>
              <w:jc w:val="both"/>
            </w:pPr>
            <w:r>
              <w:t>Head</w:t>
            </w:r>
          </w:p>
        </w:tc>
        <w:tc>
          <w:tcPr>
            <w:tcW w:w="6000" w:type="dxa"/>
            <w:tcMar>
              <w:top w:w="60" w:type="dxa"/>
              <w:left w:w="100" w:type="dxa"/>
              <w:bottom w:w="60" w:type="dxa"/>
              <w:right w:w="100" w:type="dxa"/>
            </w:tcMar>
          </w:tcPr>
          <w:p w14:paraId="2FF92DA7" w14:textId="77777777" w:rsidR="001E220D" w:rsidRDefault="00000000" w:rsidP="00DD0DE6">
            <w:pPr>
              <w:jc w:val="both"/>
            </w:pPr>
            <w:r>
              <w:t>One independent Key/Query/Value linear-layer set; multi-head attention runs several of these in parallel.</w:t>
            </w:r>
          </w:p>
        </w:tc>
      </w:tr>
      <w:tr w:rsidR="001E220D" w14:paraId="15183B45" w14:textId="77777777">
        <w:tblPrEx>
          <w:tblCellMar>
            <w:top w:w="0" w:type="dxa"/>
            <w:bottom w:w="0" w:type="dxa"/>
          </w:tblCellMar>
        </w:tblPrEx>
        <w:tc>
          <w:tcPr>
            <w:tcW w:w="3000" w:type="dxa"/>
            <w:tcMar>
              <w:top w:w="60" w:type="dxa"/>
              <w:left w:w="100" w:type="dxa"/>
              <w:bottom w:w="60" w:type="dxa"/>
              <w:right w:w="100" w:type="dxa"/>
            </w:tcMar>
          </w:tcPr>
          <w:p w14:paraId="47768AA3" w14:textId="77777777" w:rsidR="001E220D" w:rsidRDefault="00000000" w:rsidP="00DD0DE6">
            <w:pPr>
              <w:jc w:val="both"/>
            </w:pPr>
            <w:proofErr w:type="spellStart"/>
            <w:r>
              <w:t>d_model</w:t>
            </w:r>
            <w:proofErr w:type="spellEnd"/>
          </w:p>
        </w:tc>
        <w:tc>
          <w:tcPr>
            <w:tcW w:w="6000" w:type="dxa"/>
            <w:tcMar>
              <w:top w:w="60" w:type="dxa"/>
              <w:left w:w="100" w:type="dxa"/>
              <w:bottom w:w="60" w:type="dxa"/>
              <w:right w:w="100" w:type="dxa"/>
            </w:tcMar>
          </w:tcPr>
          <w:p w14:paraId="29B16263" w14:textId="77777777" w:rsidR="001E220D" w:rsidRDefault="00000000" w:rsidP="00DD0DE6">
            <w:pPr>
              <w:jc w:val="both"/>
            </w:pPr>
            <w:r>
              <w:t>The full embedding dimension (512 in the paper) before any per-head splitting.</w:t>
            </w:r>
          </w:p>
        </w:tc>
      </w:tr>
      <w:tr w:rsidR="001E220D" w14:paraId="3644D54A" w14:textId="77777777">
        <w:tblPrEx>
          <w:tblCellMar>
            <w:top w:w="0" w:type="dxa"/>
            <w:bottom w:w="0" w:type="dxa"/>
          </w:tblCellMar>
        </w:tblPrEx>
        <w:tc>
          <w:tcPr>
            <w:tcW w:w="3000" w:type="dxa"/>
            <w:tcMar>
              <w:top w:w="60" w:type="dxa"/>
              <w:left w:w="100" w:type="dxa"/>
              <w:bottom w:w="60" w:type="dxa"/>
              <w:right w:w="100" w:type="dxa"/>
            </w:tcMar>
          </w:tcPr>
          <w:p w14:paraId="5DA68E98" w14:textId="77777777" w:rsidR="001E220D" w:rsidRDefault="00000000" w:rsidP="00DD0DE6">
            <w:pPr>
              <w:jc w:val="both"/>
            </w:pPr>
            <w:proofErr w:type="spellStart"/>
            <w:r>
              <w:t>d_k</w:t>
            </w:r>
            <w:proofErr w:type="spellEnd"/>
            <w:r>
              <w:t xml:space="preserve"> / </w:t>
            </w:r>
            <w:proofErr w:type="spellStart"/>
            <w:r>
              <w:t>d_v</w:t>
            </w:r>
            <w:proofErr w:type="spellEnd"/>
          </w:p>
        </w:tc>
        <w:tc>
          <w:tcPr>
            <w:tcW w:w="6000" w:type="dxa"/>
            <w:tcMar>
              <w:top w:w="60" w:type="dxa"/>
              <w:left w:w="100" w:type="dxa"/>
              <w:bottom w:w="60" w:type="dxa"/>
              <w:right w:w="100" w:type="dxa"/>
            </w:tcMar>
          </w:tcPr>
          <w:p w14:paraId="59B956D3" w14:textId="77777777" w:rsidR="001E220D" w:rsidRDefault="00000000" w:rsidP="00DD0DE6">
            <w:pPr>
              <w:jc w:val="both"/>
            </w:pPr>
            <w:r>
              <w:t xml:space="preserve">Per-head dimension after splitting; </w:t>
            </w:r>
            <w:proofErr w:type="spellStart"/>
            <w:r>
              <w:t>d_k</w:t>
            </w:r>
            <w:proofErr w:type="spellEnd"/>
            <w:r>
              <w:t xml:space="preserve"> = </w:t>
            </w:r>
            <w:proofErr w:type="spellStart"/>
            <w:r>
              <w:t>d_v</w:t>
            </w:r>
            <w:proofErr w:type="spellEnd"/>
            <w:r>
              <w:t xml:space="preserve"> = </w:t>
            </w:r>
            <w:proofErr w:type="spellStart"/>
            <w:r>
              <w:t>d_model</w:t>
            </w:r>
            <w:proofErr w:type="spellEnd"/>
            <w:r>
              <w:t xml:space="preserve"> / h (64 in the paper, with h = 8).</w:t>
            </w:r>
          </w:p>
        </w:tc>
      </w:tr>
      <w:tr w:rsidR="001E220D" w14:paraId="3175FF66" w14:textId="77777777">
        <w:tblPrEx>
          <w:tblCellMar>
            <w:top w:w="0" w:type="dxa"/>
            <w:bottom w:w="0" w:type="dxa"/>
          </w:tblCellMar>
        </w:tblPrEx>
        <w:tc>
          <w:tcPr>
            <w:tcW w:w="3000" w:type="dxa"/>
            <w:tcMar>
              <w:top w:w="60" w:type="dxa"/>
              <w:left w:w="100" w:type="dxa"/>
              <w:bottom w:w="60" w:type="dxa"/>
              <w:right w:w="100" w:type="dxa"/>
            </w:tcMar>
          </w:tcPr>
          <w:p w14:paraId="09B73C4C" w14:textId="77777777" w:rsidR="001E220D" w:rsidRDefault="00000000" w:rsidP="00DD0DE6">
            <w:pPr>
              <w:jc w:val="both"/>
            </w:pPr>
            <w:r>
              <w:t>Concatenation</w:t>
            </w:r>
          </w:p>
        </w:tc>
        <w:tc>
          <w:tcPr>
            <w:tcW w:w="6000" w:type="dxa"/>
            <w:tcMar>
              <w:top w:w="60" w:type="dxa"/>
              <w:left w:w="100" w:type="dxa"/>
              <w:bottom w:w="60" w:type="dxa"/>
              <w:right w:w="100" w:type="dxa"/>
            </w:tcMar>
          </w:tcPr>
          <w:p w14:paraId="5590DCDD" w14:textId="77777777" w:rsidR="001E220D" w:rsidRDefault="00000000" w:rsidP="00DD0DE6">
            <w:pPr>
              <w:jc w:val="both"/>
            </w:pPr>
            <w:r>
              <w:t>Joining multiple heads' outputs end to end (not averaging/summing) before the final output projection.</w:t>
            </w:r>
          </w:p>
        </w:tc>
      </w:tr>
      <w:tr w:rsidR="001E220D" w14:paraId="1E95BA09" w14:textId="77777777">
        <w:tblPrEx>
          <w:tblCellMar>
            <w:top w:w="0" w:type="dxa"/>
            <w:bottom w:w="0" w:type="dxa"/>
          </w:tblCellMar>
        </w:tblPrEx>
        <w:tc>
          <w:tcPr>
            <w:tcW w:w="3000" w:type="dxa"/>
            <w:tcMar>
              <w:top w:w="60" w:type="dxa"/>
              <w:left w:w="100" w:type="dxa"/>
              <w:bottom w:w="60" w:type="dxa"/>
              <w:right w:w="100" w:type="dxa"/>
            </w:tcMar>
          </w:tcPr>
          <w:p w14:paraId="16D3C23A" w14:textId="77777777" w:rsidR="001E220D" w:rsidRDefault="00000000" w:rsidP="00DD0DE6">
            <w:pPr>
              <w:jc w:val="both"/>
            </w:pPr>
            <w:r>
              <w:t>Factorization (here)</w:t>
            </w:r>
          </w:p>
        </w:tc>
        <w:tc>
          <w:tcPr>
            <w:tcW w:w="6000" w:type="dxa"/>
            <w:tcMar>
              <w:top w:w="60" w:type="dxa"/>
              <w:left w:w="100" w:type="dxa"/>
              <w:bottom w:w="60" w:type="dxa"/>
              <w:right w:w="100" w:type="dxa"/>
            </w:tcMar>
          </w:tcPr>
          <w:p w14:paraId="54CEDA33" w14:textId="77777777" w:rsidR="001E220D" w:rsidRDefault="00000000" w:rsidP="00DD0DE6">
            <w:pPr>
              <w:jc w:val="both"/>
            </w:pPr>
            <w:r>
              <w:t xml:space="preserve">Splitting one full-dimensional computation into several smaller parallel ones that recombine </w:t>
            </w:r>
            <w:proofErr w:type="spellStart"/>
            <w:r>
              <w:t>losslessly</w:t>
            </w:r>
            <w:proofErr w:type="spellEnd"/>
            <w:r>
              <w:t xml:space="preserve"> — not a lossy reduction.</w:t>
            </w:r>
          </w:p>
        </w:tc>
      </w:tr>
      <w:tr w:rsidR="001E220D" w14:paraId="4FD187BE" w14:textId="77777777">
        <w:tblPrEx>
          <w:tblCellMar>
            <w:top w:w="0" w:type="dxa"/>
            <w:bottom w:w="0" w:type="dxa"/>
          </w:tblCellMar>
        </w:tblPrEx>
        <w:tc>
          <w:tcPr>
            <w:tcW w:w="3000" w:type="dxa"/>
            <w:tcMar>
              <w:top w:w="60" w:type="dxa"/>
              <w:left w:w="100" w:type="dxa"/>
              <w:bottom w:w="60" w:type="dxa"/>
              <w:right w:w="100" w:type="dxa"/>
            </w:tcMar>
          </w:tcPr>
          <w:p w14:paraId="710EA722" w14:textId="77777777" w:rsidR="001E220D" w:rsidRDefault="00000000" w:rsidP="00DD0DE6">
            <w:pPr>
              <w:jc w:val="both"/>
            </w:pPr>
            <w:r>
              <w:t>BLEU</w:t>
            </w:r>
          </w:p>
        </w:tc>
        <w:tc>
          <w:tcPr>
            <w:tcW w:w="6000" w:type="dxa"/>
            <w:tcMar>
              <w:top w:w="60" w:type="dxa"/>
              <w:left w:w="100" w:type="dxa"/>
              <w:bottom w:w="60" w:type="dxa"/>
              <w:right w:w="100" w:type="dxa"/>
            </w:tcMar>
          </w:tcPr>
          <w:p w14:paraId="5A2EC893" w14:textId="77777777" w:rsidR="001E220D" w:rsidRDefault="00000000" w:rsidP="00DD0DE6">
            <w:pPr>
              <w:jc w:val="both"/>
            </w:pPr>
            <w:r>
              <w:t>A classical MT evaluation metric; scores on open benchmarks rarely exceed the 90s, and pre-Transformer state-of-the-art sat around 20–30.</w:t>
            </w:r>
          </w:p>
        </w:tc>
      </w:tr>
      <w:tr w:rsidR="001E220D" w14:paraId="5CA115C1" w14:textId="77777777">
        <w:tblPrEx>
          <w:tblCellMar>
            <w:top w:w="0" w:type="dxa"/>
            <w:bottom w:w="0" w:type="dxa"/>
          </w:tblCellMar>
        </w:tblPrEx>
        <w:tc>
          <w:tcPr>
            <w:tcW w:w="3000" w:type="dxa"/>
            <w:tcMar>
              <w:top w:w="60" w:type="dxa"/>
              <w:left w:w="100" w:type="dxa"/>
              <w:bottom w:w="60" w:type="dxa"/>
              <w:right w:w="100" w:type="dxa"/>
            </w:tcMar>
          </w:tcPr>
          <w:p w14:paraId="345163C8" w14:textId="77777777" w:rsidR="001E220D" w:rsidRDefault="00000000" w:rsidP="00DD0DE6">
            <w:pPr>
              <w:jc w:val="both"/>
            </w:pPr>
            <w:r>
              <w:t>Transduction</w:t>
            </w:r>
          </w:p>
        </w:tc>
        <w:tc>
          <w:tcPr>
            <w:tcW w:w="6000" w:type="dxa"/>
            <w:tcMar>
              <w:top w:w="60" w:type="dxa"/>
              <w:left w:w="100" w:type="dxa"/>
              <w:bottom w:w="60" w:type="dxa"/>
              <w:right w:w="100" w:type="dxa"/>
            </w:tcMar>
          </w:tcPr>
          <w:p w14:paraId="316DCEBE" w14:textId="77777777" w:rsidR="001E220D" w:rsidRDefault="00000000" w:rsidP="00DD0DE6">
            <w:pPr>
              <w:jc w:val="both"/>
            </w:pPr>
            <w:r>
              <w:t>Transforming one sequence into another (e.g., one language's sentence into another's).</w:t>
            </w:r>
          </w:p>
        </w:tc>
      </w:tr>
      <w:tr w:rsidR="001E220D" w14:paraId="4E62CC36" w14:textId="77777777">
        <w:tblPrEx>
          <w:tblCellMar>
            <w:top w:w="0" w:type="dxa"/>
            <w:bottom w:w="0" w:type="dxa"/>
          </w:tblCellMar>
        </w:tblPrEx>
        <w:tc>
          <w:tcPr>
            <w:tcW w:w="3000" w:type="dxa"/>
            <w:tcMar>
              <w:top w:w="60" w:type="dxa"/>
              <w:left w:w="100" w:type="dxa"/>
              <w:bottom w:w="60" w:type="dxa"/>
              <w:right w:w="100" w:type="dxa"/>
            </w:tcMar>
          </w:tcPr>
          <w:p w14:paraId="2ACC78F0" w14:textId="77777777" w:rsidR="001E220D" w:rsidRDefault="00000000" w:rsidP="00DD0DE6">
            <w:pPr>
              <w:jc w:val="both"/>
            </w:pPr>
            <w:r>
              <w:t>Cross-attention</w:t>
            </w:r>
          </w:p>
        </w:tc>
        <w:tc>
          <w:tcPr>
            <w:tcW w:w="6000" w:type="dxa"/>
            <w:tcMar>
              <w:top w:w="60" w:type="dxa"/>
              <w:left w:w="100" w:type="dxa"/>
              <w:bottom w:w="60" w:type="dxa"/>
              <w:right w:w="100" w:type="dxa"/>
            </w:tcMar>
          </w:tcPr>
          <w:p w14:paraId="01485147" w14:textId="77777777" w:rsidR="001E220D" w:rsidRDefault="00000000" w:rsidP="00DD0DE6">
            <w:pPr>
              <w:jc w:val="both"/>
            </w:pPr>
            <w:r>
              <w:t>The (separate, not-yet-covered) mechanism used to connect an encoder to a decoder; distinct from self-attention.</w:t>
            </w:r>
          </w:p>
        </w:tc>
      </w:tr>
      <w:tr w:rsidR="001E220D" w14:paraId="67A0FAA7" w14:textId="77777777">
        <w:tblPrEx>
          <w:tblCellMar>
            <w:top w:w="0" w:type="dxa"/>
            <w:bottom w:w="0" w:type="dxa"/>
          </w:tblCellMar>
        </w:tblPrEx>
        <w:tc>
          <w:tcPr>
            <w:tcW w:w="3000" w:type="dxa"/>
            <w:tcMar>
              <w:top w:w="60" w:type="dxa"/>
              <w:left w:w="100" w:type="dxa"/>
              <w:bottom w:w="60" w:type="dxa"/>
              <w:right w:w="100" w:type="dxa"/>
            </w:tcMar>
          </w:tcPr>
          <w:p w14:paraId="3F410F08" w14:textId="77777777" w:rsidR="001E220D" w:rsidRDefault="00000000" w:rsidP="00DD0DE6">
            <w:pPr>
              <w:jc w:val="both"/>
            </w:pPr>
            <w:r>
              <w:t>Residual / skip connection</w:t>
            </w:r>
          </w:p>
        </w:tc>
        <w:tc>
          <w:tcPr>
            <w:tcW w:w="6000" w:type="dxa"/>
            <w:tcMar>
              <w:top w:w="60" w:type="dxa"/>
              <w:left w:w="100" w:type="dxa"/>
              <w:bottom w:w="60" w:type="dxa"/>
              <w:right w:w="100" w:type="dxa"/>
            </w:tcMar>
          </w:tcPr>
          <w:p w14:paraId="3DEA7BED" w14:textId="77777777" w:rsidR="001E220D" w:rsidRDefault="00000000" w:rsidP="00DD0DE6">
            <w:pPr>
              <w:jc w:val="both"/>
            </w:pPr>
            <w:r>
              <w:t xml:space="preserve">X = F(X) + X — adding a layer's input back to its output; from the </w:t>
            </w:r>
            <w:proofErr w:type="spellStart"/>
            <w:r>
              <w:t>ResNet</w:t>
            </w:r>
            <w:proofErr w:type="spellEnd"/>
            <w:r>
              <w:t xml:space="preserve"> paper, prevents vanishing gradients in deep stacks.</w:t>
            </w:r>
          </w:p>
        </w:tc>
      </w:tr>
      <w:tr w:rsidR="001E220D" w14:paraId="73818ACF" w14:textId="77777777">
        <w:tblPrEx>
          <w:tblCellMar>
            <w:top w:w="0" w:type="dxa"/>
            <w:bottom w:w="0" w:type="dxa"/>
          </w:tblCellMar>
        </w:tblPrEx>
        <w:tc>
          <w:tcPr>
            <w:tcW w:w="3000" w:type="dxa"/>
            <w:tcMar>
              <w:top w:w="60" w:type="dxa"/>
              <w:left w:w="100" w:type="dxa"/>
              <w:bottom w:w="60" w:type="dxa"/>
              <w:right w:w="100" w:type="dxa"/>
            </w:tcMar>
          </w:tcPr>
          <w:p w14:paraId="25BCC46B" w14:textId="77777777" w:rsidR="001E220D" w:rsidRDefault="00000000" w:rsidP="00DD0DE6">
            <w:pPr>
              <w:jc w:val="both"/>
            </w:pPr>
            <w:r>
              <w:t>Add &amp; Norm</w:t>
            </w:r>
          </w:p>
        </w:tc>
        <w:tc>
          <w:tcPr>
            <w:tcW w:w="6000" w:type="dxa"/>
            <w:tcMar>
              <w:top w:w="60" w:type="dxa"/>
              <w:left w:w="100" w:type="dxa"/>
              <w:bottom w:w="60" w:type="dxa"/>
              <w:right w:w="100" w:type="dxa"/>
            </w:tcMar>
          </w:tcPr>
          <w:p w14:paraId="55C7F7FD" w14:textId="77777777" w:rsidR="001E220D" w:rsidRDefault="00000000" w:rsidP="00DD0DE6">
            <w:pPr>
              <w:jc w:val="both"/>
            </w:pPr>
            <w:r>
              <w:t>The residual-connection-then-layer-normalization step, applied twice per encoder block.</w:t>
            </w:r>
          </w:p>
        </w:tc>
      </w:tr>
      <w:tr w:rsidR="001E220D" w14:paraId="4DFC05DE" w14:textId="77777777">
        <w:tblPrEx>
          <w:tblCellMar>
            <w:top w:w="0" w:type="dxa"/>
            <w:bottom w:w="0" w:type="dxa"/>
          </w:tblCellMar>
        </w:tblPrEx>
        <w:tc>
          <w:tcPr>
            <w:tcW w:w="3000" w:type="dxa"/>
            <w:tcMar>
              <w:top w:w="60" w:type="dxa"/>
              <w:left w:w="100" w:type="dxa"/>
              <w:bottom w:w="60" w:type="dxa"/>
              <w:right w:w="100" w:type="dxa"/>
            </w:tcMar>
          </w:tcPr>
          <w:p w14:paraId="4BB7289A" w14:textId="77777777" w:rsidR="001E220D" w:rsidRDefault="00000000" w:rsidP="00DD0DE6">
            <w:pPr>
              <w:jc w:val="both"/>
            </w:pPr>
            <w:r>
              <w:t>Layer normalization</w:t>
            </w:r>
          </w:p>
        </w:tc>
        <w:tc>
          <w:tcPr>
            <w:tcW w:w="6000" w:type="dxa"/>
            <w:tcMar>
              <w:top w:w="60" w:type="dxa"/>
              <w:left w:w="100" w:type="dxa"/>
              <w:bottom w:w="60" w:type="dxa"/>
              <w:right w:w="100" w:type="dxa"/>
            </w:tcMar>
          </w:tcPr>
          <w:p w14:paraId="4C9D6A18" w14:textId="77777777" w:rsidR="001E220D" w:rsidRDefault="00000000" w:rsidP="00DD0DE6">
            <w:pPr>
              <w:jc w:val="both"/>
            </w:pPr>
            <w:r>
              <w:t>The specific normalization used in this paper (not batch normalization).</w:t>
            </w:r>
          </w:p>
        </w:tc>
      </w:tr>
      <w:tr w:rsidR="001E220D" w14:paraId="72E2193B" w14:textId="77777777">
        <w:tblPrEx>
          <w:tblCellMar>
            <w:top w:w="0" w:type="dxa"/>
            <w:bottom w:w="0" w:type="dxa"/>
          </w:tblCellMar>
        </w:tblPrEx>
        <w:tc>
          <w:tcPr>
            <w:tcW w:w="3000" w:type="dxa"/>
            <w:tcMar>
              <w:top w:w="60" w:type="dxa"/>
              <w:left w:w="100" w:type="dxa"/>
              <w:bottom w:w="60" w:type="dxa"/>
              <w:right w:w="100" w:type="dxa"/>
            </w:tcMar>
          </w:tcPr>
          <w:p w14:paraId="5879E5BF" w14:textId="77777777" w:rsidR="001E220D" w:rsidRDefault="00000000" w:rsidP="00DD0DE6">
            <w:pPr>
              <w:jc w:val="both"/>
            </w:pPr>
            <w:r>
              <w:t>Position-wise feed-forward network</w:t>
            </w:r>
          </w:p>
        </w:tc>
        <w:tc>
          <w:tcPr>
            <w:tcW w:w="6000" w:type="dxa"/>
            <w:tcMar>
              <w:top w:w="60" w:type="dxa"/>
              <w:left w:w="100" w:type="dxa"/>
              <w:bottom w:w="60" w:type="dxa"/>
              <w:right w:w="100" w:type="dxa"/>
            </w:tcMar>
          </w:tcPr>
          <w:p w14:paraId="576FB0E5" w14:textId="77777777" w:rsidR="001E220D" w:rsidRDefault="00000000" w:rsidP="00DD0DE6">
            <w:pPr>
              <w:jc w:val="both"/>
            </w:pPr>
            <w:r>
              <w:t xml:space="preserve">Two linear layers with a </w:t>
            </w:r>
            <w:proofErr w:type="spellStart"/>
            <w:r>
              <w:t>ReLU</w:t>
            </w:r>
            <w:proofErr w:type="spellEnd"/>
            <w:r>
              <w:t xml:space="preserve"> in between, applied identically at every position; inner dimension 2048 vs. model dimension 512 in the paper.</w:t>
            </w:r>
          </w:p>
        </w:tc>
      </w:tr>
      <w:tr w:rsidR="001E220D" w14:paraId="122C3DA2" w14:textId="77777777">
        <w:tblPrEx>
          <w:tblCellMar>
            <w:top w:w="0" w:type="dxa"/>
            <w:bottom w:w="0" w:type="dxa"/>
          </w:tblCellMar>
        </w:tblPrEx>
        <w:tc>
          <w:tcPr>
            <w:tcW w:w="3000" w:type="dxa"/>
            <w:tcMar>
              <w:top w:w="60" w:type="dxa"/>
              <w:left w:w="100" w:type="dxa"/>
              <w:bottom w:w="60" w:type="dxa"/>
              <w:right w:w="100" w:type="dxa"/>
            </w:tcMar>
          </w:tcPr>
          <w:p w14:paraId="66EED6AE" w14:textId="77777777" w:rsidR="001E220D" w:rsidRDefault="00000000" w:rsidP="00DD0DE6">
            <w:pPr>
              <w:jc w:val="both"/>
            </w:pPr>
            <w:proofErr w:type="spellStart"/>
            <w:r>
              <w:t>Nx</w:t>
            </w:r>
            <w:proofErr w:type="spellEnd"/>
          </w:p>
        </w:tc>
        <w:tc>
          <w:tcPr>
            <w:tcW w:w="6000" w:type="dxa"/>
            <w:tcMar>
              <w:top w:w="60" w:type="dxa"/>
              <w:left w:w="100" w:type="dxa"/>
              <w:bottom w:w="60" w:type="dxa"/>
              <w:right w:w="100" w:type="dxa"/>
            </w:tcMar>
          </w:tcPr>
          <w:p w14:paraId="73AEC0ED" w14:textId="77777777" w:rsidR="001E220D" w:rsidRDefault="00000000" w:rsidP="00DD0DE6">
            <w:pPr>
              <w:jc w:val="both"/>
            </w:pPr>
            <w:r>
              <w:t>Number of times the entire encoder (or decoder) block repeats; a hyperparameter, 6 in the paper.</w:t>
            </w:r>
          </w:p>
        </w:tc>
      </w:tr>
      <w:tr w:rsidR="001E220D" w14:paraId="64E2AAD6" w14:textId="77777777">
        <w:tblPrEx>
          <w:tblCellMar>
            <w:top w:w="0" w:type="dxa"/>
            <w:bottom w:w="0" w:type="dxa"/>
          </w:tblCellMar>
        </w:tblPrEx>
        <w:tc>
          <w:tcPr>
            <w:tcW w:w="3000" w:type="dxa"/>
            <w:tcMar>
              <w:top w:w="60" w:type="dxa"/>
              <w:left w:w="100" w:type="dxa"/>
              <w:bottom w:w="60" w:type="dxa"/>
              <w:right w:w="100" w:type="dxa"/>
            </w:tcMar>
          </w:tcPr>
          <w:p w14:paraId="46453B4E" w14:textId="77777777" w:rsidR="001E220D" w:rsidRDefault="00000000" w:rsidP="00DD0DE6">
            <w:pPr>
              <w:jc w:val="both"/>
            </w:pPr>
            <w:r>
              <w:t>Encoder-only / decoder-only / encoder-decoder</w:t>
            </w:r>
          </w:p>
        </w:tc>
        <w:tc>
          <w:tcPr>
            <w:tcW w:w="6000" w:type="dxa"/>
            <w:tcMar>
              <w:top w:w="60" w:type="dxa"/>
              <w:left w:w="100" w:type="dxa"/>
              <w:bottom w:w="60" w:type="dxa"/>
              <w:right w:w="100" w:type="dxa"/>
            </w:tcMar>
          </w:tcPr>
          <w:p w14:paraId="6900F5CD" w14:textId="77777777" w:rsidR="001E220D" w:rsidRDefault="00000000" w:rsidP="00DD0DE6">
            <w:pPr>
              <w:jc w:val="both"/>
            </w:pPr>
            <w:r>
              <w:t>Bidirectional (BERT-style) vs. unidirectional/next-token (GPT-style) vs. full sequence-to-sequence (translation/summarization) architectures.</w:t>
            </w:r>
          </w:p>
        </w:tc>
      </w:tr>
    </w:tbl>
    <w:p w14:paraId="66C0CD20" w14:textId="77777777" w:rsidR="001E220D" w:rsidRDefault="00000000" w:rsidP="00DD0DE6">
      <w:pPr>
        <w:pStyle w:val="Heading1"/>
        <w:jc w:val="both"/>
      </w:pPr>
      <w:r>
        <w:t>Common Points of Confusion: Class Q&amp;A</w:t>
      </w:r>
    </w:p>
    <w:p w14:paraId="0D8A285C" w14:textId="77777777" w:rsidR="001E220D" w:rsidRDefault="00000000" w:rsidP="00DD0DE6">
      <w:pPr>
        <w:spacing w:after="200" w:line="300" w:lineRule="auto"/>
        <w:jc w:val="both"/>
      </w:pPr>
      <w:r>
        <w:t>These are the questions from class discussion that surfaced genuine points of confusion — the kind worth knowing cold, since if a classmate got tripped up here, an interviewer might expect you to untangle the same thing on the spot.</w:t>
      </w:r>
    </w:p>
    <w:p w14:paraId="083AFBD6" w14:textId="77777777" w:rsidR="001E220D" w:rsidRDefault="00000000" w:rsidP="00DD0DE6">
      <w:pPr>
        <w:spacing w:before="200" w:after="80"/>
        <w:jc w:val="both"/>
      </w:pPr>
      <w:r>
        <w:rPr>
          <w:b/>
          <w:bCs/>
          <w:color w:val="8B2E2E"/>
        </w:rPr>
        <w:lastRenderedPageBreak/>
        <w:t>Q: When a 512-dimensional vector gets split across 8 heads (64 dimensions each), is information actually being lost or compressed?</w:t>
      </w:r>
    </w:p>
    <w:p w14:paraId="59DBECE0" w14:textId="77777777" w:rsidR="001E220D" w:rsidRDefault="00000000" w:rsidP="00DD0DE6">
      <w:pPr>
        <w:spacing w:after="120" w:line="300" w:lineRule="auto"/>
        <w:jc w:val="both"/>
      </w:pPr>
      <w:r>
        <w:t xml:space="preserve">A: No — and this is worth being precise about, because "reduction" is the wrong mental model. Nothing is discarded. This is a factorization: the same total information is split into 8 smaller, parallel pieces, and concatenating all 8 heads' outputs back together at the end fully reconstructs the original 512-dimensional space. The clean analogy is factoring a matrix — a 3×3 matrix can be broken into a 1×3 piece and a 3×1 piece and reconstructed </w:t>
      </w:r>
      <w:proofErr w:type="spellStart"/>
      <w:r>
        <w:t>losslessly</w:t>
      </w:r>
      <w:proofErr w:type="spellEnd"/>
      <w:r>
        <w:t>. The reason to do this at all is computational: hardware generally processes several smaller parallel operations faster than one large sequential one, and the paper confirms this directly — computational cost with h heads at reduced per-head dimension ends up comparable to a single full-dimensional attention pass, so you effectively get 8 independent "views" of the data for roughly the cost of one.</w:t>
      </w:r>
    </w:p>
    <w:p w14:paraId="651B26B0" w14:textId="77777777" w:rsidR="001E220D" w:rsidRDefault="00000000" w:rsidP="00DD0DE6">
      <w:pPr>
        <w:spacing w:before="200" w:after="80"/>
        <w:jc w:val="both"/>
      </w:pPr>
      <w:r>
        <w:rPr>
          <w:b/>
          <w:bCs/>
          <w:color w:val="8B2E2E"/>
        </w:rPr>
        <w:t>Q: Instead of splitting one large embedding into smaller per-head pieces, why not just use an existing smaller-dimension embedding model (say, one that already outputs 64-dimensional vectors) directly for every head?</w:t>
      </w:r>
    </w:p>
    <w:p w14:paraId="5DA81B8E" w14:textId="77777777" w:rsidR="001E220D" w:rsidRDefault="00000000" w:rsidP="00DD0DE6">
      <w:pPr>
        <w:spacing w:after="120" w:line="300" w:lineRule="auto"/>
        <w:jc w:val="both"/>
      </w:pPr>
      <w:r>
        <w:t>A: You could try it, but it would likely hurt quality specifically because it skips the full-dimensional scaled dot-product step where richer context first gets captured. The architecture's implicit design assumption is that the initial, full-dimensional Q/K/V computation captures a meaningful amount of context before any per-head splitting happens; feeding in embeddings that were never part of that first full-dimensional pass means each head starts from a thinner representation with comparatively less semantic signal, which would likely show up as lower-quality context or weaker downstream performance. It's a great question to test experimentally, but architecturally, the intuition is that skipping the full-dimensional pass costs you something real.</w:t>
      </w:r>
    </w:p>
    <w:p w14:paraId="15360CD3" w14:textId="77777777" w:rsidR="001E220D" w:rsidRDefault="00000000" w:rsidP="00DD0DE6">
      <w:pPr>
        <w:spacing w:before="200" w:after="80"/>
        <w:jc w:val="both"/>
      </w:pPr>
      <w:r>
        <w:rPr>
          <w:b/>
          <w:bCs/>
          <w:color w:val="8B2E2E"/>
        </w:rPr>
        <w:t>Q: What role does the scaling factor (1/√</w:t>
      </w:r>
      <w:proofErr w:type="spellStart"/>
      <w:r>
        <w:rPr>
          <w:b/>
          <w:bCs/>
          <w:color w:val="8B2E2E"/>
        </w:rPr>
        <w:t>d_k</w:t>
      </w:r>
      <w:proofErr w:type="spellEnd"/>
      <w:r>
        <w:rPr>
          <w:b/>
          <w:bCs/>
          <w:color w:val="8B2E2E"/>
        </w:rPr>
        <w:t>) specifically play during backpropagation, as opposed to just the forward pass?</w:t>
      </w:r>
    </w:p>
    <w:p w14:paraId="5596C641" w14:textId="77777777" w:rsidR="001E220D" w:rsidRDefault="00000000" w:rsidP="00DD0DE6">
      <w:pPr>
        <w:spacing w:after="120" w:line="300" w:lineRule="auto"/>
        <w:jc w:val="both"/>
      </w:pPr>
      <w:r>
        <w:t xml:space="preserve">A: Without scaling, some raw dot-product values can come out disproportionately large, and </w:t>
      </w:r>
      <w:proofErr w:type="spellStart"/>
      <w:r>
        <w:t>softmax</w:t>
      </w:r>
      <w:proofErr w:type="spellEnd"/>
      <w:r>
        <w:t xml:space="preserve"> then pushes those large values toward probability 1 while pushing everything else toward 0 (</w:t>
      </w:r>
      <w:proofErr w:type="spellStart"/>
      <w:r>
        <w:t>softmax</w:t>
      </w:r>
      <w:proofErr w:type="spellEnd"/>
      <w:r>
        <w:t xml:space="preserve"> saturation). During backpropagation, the gradient in those saturated regions is close to zero — so weights connected to the "lost" (near-zero) tokens barely update at all, meaning the model effectively stops learning from part of the sequence. Scaling by 1/√</w:t>
      </w:r>
      <w:proofErr w:type="spellStart"/>
      <w:r>
        <w:t>d_k</w:t>
      </w:r>
      <w:proofErr w:type="spellEnd"/>
      <w:r>
        <w:t xml:space="preserve"> keeps the raw scores in a more moderate range before </w:t>
      </w:r>
      <w:proofErr w:type="spellStart"/>
      <w:r>
        <w:t>softmax</w:t>
      </w:r>
      <w:proofErr w:type="spellEnd"/>
      <w:r>
        <w:t xml:space="preserve"> ever sees them, which keeps gradients usable across more of the score matrix rather than concentrated in a few saturated corners — so its effect on backpropagation specifically is to keep learning distributed across the whole sequence instead of collapsing onto only the highest-scoring tokens.</w:t>
      </w:r>
    </w:p>
    <w:p w14:paraId="14409005" w14:textId="77777777" w:rsidR="001E220D" w:rsidRDefault="00000000" w:rsidP="00DD0DE6">
      <w:pPr>
        <w:spacing w:before="200" w:after="80"/>
        <w:jc w:val="both"/>
      </w:pPr>
      <w:r>
        <w:rPr>
          <w:b/>
          <w:bCs/>
          <w:color w:val="8B2E2E"/>
        </w:rPr>
        <w:t xml:space="preserve">Q: When an encoder block repeats </w:t>
      </w:r>
      <w:proofErr w:type="spellStart"/>
      <w:r>
        <w:rPr>
          <w:b/>
          <w:bCs/>
          <w:color w:val="8B2E2E"/>
        </w:rPr>
        <w:t>Nx</w:t>
      </w:r>
      <w:proofErr w:type="spellEnd"/>
      <w:r>
        <w:rPr>
          <w:b/>
          <w:bCs/>
          <w:color w:val="8B2E2E"/>
        </w:rPr>
        <w:t xml:space="preserve"> times, is that the same as retraining the model multiple times?</w:t>
      </w:r>
    </w:p>
    <w:p w14:paraId="0BE1D295" w14:textId="77777777" w:rsidR="001E220D" w:rsidRDefault="00000000" w:rsidP="00DD0DE6">
      <w:pPr>
        <w:spacing w:after="120" w:line="300" w:lineRule="auto"/>
        <w:jc w:val="both"/>
      </w:pPr>
      <w:r>
        <w:t xml:space="preserve">A: No — it's a single training pass through a deeper network, not repeated retraining. Each of the </w:t>
      </w:r>
      <w:proofErr w:type="spellStart"/>
      <w:r>
        <w:t>Nx</w:t>
      </w:r>
      <w:proofErr w:type="spellEnd"/>
      <w:r>
        <w:t xml:space="preserve"> repetitions is a separate block with its own independently trained weights, stacked so the output of one </w:t>
      </w:r>
      <w:proofErr w:type="gramStart"/>
      <w:r>
        <w:t>feeds</w:t>
      </w:r>
      <w:proofErr w:type="gramEnd"/>
      <w:r>
        <w:t xml:space="preserve"> directly into the next as input. The benefit isn't re-exposure to the same data; it's that each additional block gets another opportunity to build additional context on top of what the previous block already captured, the same way adding more layers to any deep network generally improves its ability to generalize rather than memorize one specific pass.</w:t>
      </w:r>
    </w:p>
    <w:p w14:paraId="71584B88" w14:textId="77777777" w:rsidR="001E220D" w:rsidRDefault="00000000" w:rsidP="00DD0DE6">
      <w:pPr>
        <w:spacing w:before="200" w:after="80"/>
        <w:jc w:val="both"/>
      </w:pPr>
      <w:r>
        <w:rPr>
          <w:b/>
          <w:bCs/>
          <w:color w:val="8B2E2E"/>
        </w:rPr>
        <w:t>Q: With multi-head attention doing repeated Add-and-Norm operations, does that risk creating duplicate values and causing overfitting, especially on a small dataset?</w:t>
      </w:r>
    </w:p>
    <w:p w14:paraId="6356A374" w14:textId="77777777" w:rsidR="001E220D" w:rsidRDefault="00000000" w:rsidP="00DD0DE6">
      <w:pPr>
        <w:spacing w:after="120" w:line="300" w:lineRule="auto"/>
        <w:jc w:val="both"/>
      </w:pPr>
      <w:r>
        <w:lastRenderedPageBreak/>
        <w:t>A: The overfitting risk is real, but it comes from having a small dataset in general — not specifically from multi-head attention or from Add-and-Norm repetition. Duplicate-looking values across heads aren't a meaningful concern in practice: these are dense, continuous vectors (unlike the sparse vectors from older one-hot-style techniques), so exact duplicate values among floating-point numbers are extremely unlikely to occur by chance. If a dataset is small, the fix is the standard one — more data, regularization, or a simpler architecture — not fewer heads or fewer Add-and-Norm steps.</w:t>
      </w:r>
    </w:p>
    <w:sectPr w:rsidR="001E220D">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D52E2D"/>
    <w:multiLevelType w:val="hybridMultilevel"/>
    <w:tmpl w:val="50820836"/>
    <w:lvl w:ilvl="0" w:tplc="700629EE">
      <w:start w:val="1"/>
      <w:numFmt w:val="bullet"/>
      <w:lvlText w:val="●"/>
      <w:lvlJc w:val="left"/>
      <w:pPr>
        <w:ind w:left="720" w:hanging="360"/>
      </w:pPr>
    </w:lvl>
    <w:lvl w:ilvl="1" w:tplc="E47CEEA6">
      <w:start w:val="1"/>
      <w:numFmt w:val="bullet"/>
      <w:lvlText w:val="○"/>
      <w:lvlJc w:val="left"/>
      <w:pPr>
        <w:ind w:left="1440" w:hanging="360"/>
      </w:pPr>
    </w:lvl>
    <w:lvl w:ilvl="2" w:tplc="DFA2EA5E">
      <w:start w:val="1"/>
      <w:numFmt w:val="bullet"/>
      <w:lvlText w:val="■"/>
      <w:lvlJc w:val="left"/>
      <w:pPr>
        <w:ind w:left="2160" w:hanging="360"/>
      </w:pPr>
    </w:lvl>
    <w:lvl w:ilvl="3" w:tplc="CFFC72A6">
      <w:start w:val="1"/>
      <w:numFmt w:val="bullet"/>
      <w:lvlText w:val="●"/>
      <w:lvlJc w:val="left"/>
      <w:pPr>
        <w:ind w:left="2880" w:hanging="360"/>
      </w:pPr>
    </w:lvl>
    <w:lvl w:ilvl="4" w:tplc="B30C80CC">
      <w:start w:val="1"/>
      <w:numFmt w:val="bullet"/>
      <w:lvlText w:val="○"/>
      <w:lvlJc w:val="left"/>
      <w:pPr>
        <w:ind w:left="3600" w:hanging="360"/>
      </w:pPr>
    </w:lvl>
    <w:lvl w:ilvl="5" w:tplc="7A34859A">
      <w:start w:val="1"/>
      <w:numFmt w:val="bullet"/>
      <w:lvlText w:val="■"/>
      <w:lvlJc w:val="left"/>
      <w:pPr>
        <w:ind w:left="4320" w:hanging="360"/>
      </w:pPr>
    </w:lvl>
    <w:lvl w:ilvl="6" w:tplc="F782BBBE">
      <w:start w:val="1"/>
      <w:numFmt w:val="bullet"/>
      <w:lvlText w:val="●"/>
      <w:lvlJc w:val="left"/>
      <w:pPr>
        <w:ind w:left="5040" w:hanging="360"/>
      </w:pPr>
    </w:lvl>
    <w:lvl w:ilvl="7" w:tplc="DB3E958E">
      <w:start w:val="1"/>
      <w:numFmt w:val="bullet"/>
      <w:lvlText w:val="●"/>
      <w:lvlJc w:val="left"/>
      <w:pPr>
        <w:ind w:left="5760" w:hanging="360"/>
      </w:pPr>
    </w:lvl>
    <w:lvl w:ilvl="8" w:tplc="E2DA7EFE">
      <w:start w:val="1"/>
      <w:numFmt w:val="bullet"/>
      <w:lvlText w:val="●"/>
      <w:lvlJc w:val="left"/>
      <w:pPr>
        <w:ind w:left="6480" w:hanging="360"/>
      </w:pPr>
    </w:lvl>
  </w:abstractNum>
  <w:num w:numId="1" w16cid:durableId="5242480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20D"/>
    <w:rsid w:val="001E220D"/>
    <w:rsid w:val="002D2F5B"/>
    <w:rsid w:val="00DD0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87A49"/>
  <w15:docId w15:val="{A6E1B700-3A19-490C-98CC-3162ABA19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C9BBAE"/>
      </w:pBdr>
      <w:spacing w:before="320" w:after="160"/>
      <w:outlineLvl w:val="0"/>
    </w:pPr>
    <w:rPr>
      <w:b/>
      <w:bCs/>
      <w:color w:val="8B2E2E"/>
      <w:sz w:val="30"/>
      <w:szCs w:val="30"/>
    </w:rPr>
  </w:style>
  <w:style w:type="paragraph" w:styleId="Heading2">
    <w:name w:val="heading 2"/>
    <w:uiPriority w:val="9"/>
    <w:semiHidden/>
    <w:unhideWhenUsed/>
    <w:qFormat/>
    <w:pPr>
      <w:spacing w:before="240" w:after="120"/>
      <w:outlineLvl w:val="1"/>
    </w:pPr>
    <w:rPr>
      <w:b/>
      <w:bCs/>
      <w:color w:val="5A5A5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3620</Words>
  <Characters>20637</Characters>
  <Application>Microsoft Office Word</Application>
  <DocSecurity>0</DocSecurity>
  <Lines>171</Lines>
  <Paragraphs>48</Paragraphs>
  <ScaleCrop>false</ScaleCrop>
  <Company/>
  <LinksUpToDate>false</LinksUpToDate>
  <CharactersWithSpaces>24209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Anjum</cp:lastModifiedBy>
  <cp:revision>2</cp:revision>
  <dcterms:created xsi:type="dcterms:W3CDTF">2026-08-11T04:21:00Z</dcterms:created>
  <dcterms:modified xsi:type="dcterms:W3CDTF">2026-08-15T22:19:00Z</dcterms:modified>
</cp:coreProperties>
</file>