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E09CC" w14:textId="77777777" w:rsidR="00A012C7" w:rsidRDefault="00000000" w:rsidP="00D72F77">
      <w:pPr>
        <w:spacing w:after="60"/>
        <w:jc w:val="both"/>
      </w:pPr>
      <w:r>
        <w:rPr>
          <w:b/>
          <w:bCs/>
          <w:color w:val="8B2E2E"/>
          <w:sz w:val="48"/>
          <w:szCs w:val="48"/>
        </w:rPr>
        <w:t>Transformers 101</w:t>
      </w:r>
    </w:p>
    <w:p w14:paraId="212A9E98" w14:textId="77777777" w:rsidR="00A012C7" w:rsidRDefault="00000000" w:rsidP="00D72F77">
      <w:pPr>
        <w:spacing w:after="60"/>
        <w:jc w:val="both"/>
      </w:pPr>
      <w:r>
        <w:rPr>
          <w:i/>
          <w:iCs/>
          <w:color w:val="555555"/>
          <w:sz w:val="26"/>
          <w:szCs w:val="26"/>
        </w:rPr>
        <w:t>Self-study notes — 9 August 2026</w:t>
      </w:r>
    </w:p>
    <w:p w14:paraId="7B12EBA1" w14:textId="77777777" w:rsidR="00A012C7" w:rsidRDefault="00000000" w:rsidP="00D72F77">
      <w:pPr>
        <w:spacing w:after="400"/>
        <w:jc w:val="both"/>
      </w:pPr>
      <w:r>
        <w:rPr>
          <w:color w:val="555555"/>
        </w:rPr>
        <w:t>Positional encoding, masked attention, cross-attention, and how a decoder actually generates a word.</w:t>
      </w:r>
    </w:p>
    <w:p w14:paraId="1FE68B75" w14:textId="77777777" w:rsidR="00A012C7" w:rsidRDefault="00000000" w:rsidP="00D72F77">
      <w:pPr>
        <w:pStyle w:val="Heading1"/>
        <w:jc w:val="both"/>
      </w:pPr>
      <w:r>
        <w:t>1. Watching a Real Transformer Run</w:t>
      </w:r>
    </w:p>
    <w:p w14:paraId="6A80C6AB" w14:textId="77777777" w:rsidR="00A012C7" w:rsidRDefault="00000000" w:rsidP="00D72F77">
      <w:pPr>
        <w:spacing w:after="200" w:line="300" w:lineRule="auto"/>
        <w:jc w:val="both"/>
      </w:pPr>
      <w:r>
        <w:t>Today opened with two interactive visualizers that run a real, GPT-2-scale, decoder-only Transformer end to end on an actual sentence — worth revisiting on your own, since seeing real numbers flow through every block you've studied piece by piece is genuinely clarifying. The pipeline in both tools matches everything from prior sessions: token → embedding → add positional encoding → Key/Query/Value per head → scaled dot-product attention → concatenate heads → feed-forward (MLP) → residual connections → repeat for N blocks → final linear projection → logits.</w:t>
      </w:r>
    </w:p>
    <w:p w14:paraId="69526CAE" w14:textId="77777777" w:rsidR="00A012C7" w:rsidRDefault="00000000" w:rsidP="00D72F77">
      <w:pPr>
        <w:spacing w:after="200" w:line="300" w:lineRule="auto"/>
        <w:jc w:val="both"/>
      </w:pPr>
      <w:r>
        <w:t>The specific numbers differ from the original paper, and that's expected: this particular GPT-2-small configuration uses a 768-dimensional embedding (vs. the paper's 512), a 3,072-neuron feed-forward hidden layer (vs. 2,048), and 12 stacked blocks (vs. the paper's 6) — every one of these is a hyperparameter choice, not a change to the underlying mechanism. The final output projection expands from the 768-dimensional embedding all the way up to the size of the vocabulary — around 50,000 unique tokens in this example — because that final layer's job is to score every possible next word, not to represent context anymore.</w:t>
      </w:r>
    </w:p>
    <w:p w14:paraId="1A2031E5" w14:textId="77777777" w:rsidR="00A012C7" w:rsidRDefault="00000000" w:rsidP="00D72F77">
      <w:pPr>
        <w:spacing w:after="200" w:line="300" w:lineRule="auto"/>
        <w:jc w:val="both"/>
      </w:pPr>
      <w:r>
        <w:t>The second visualizer showed a smaller, nanoGPT-style architecture with one structural variant worth noting: it applies layer normalization before multi-head attention rather than after (a "pre-norm" ordering, versus the paper's "post-norm" ordering). Different real implementations make this choice differently — the core components (attention, feed-forward, residuals, normalization) stay the same either way; only their exact ordering shifts.</w:t>
      </w:r>
    </w:p>
    <w:p w14:paraId="6026DA22" w14:textId="77777777" w:rsidR="00A012C7" w:rsidRDefault="00000000" w:rsidP="00D72F77">
      <w:pPr>
        <w:pStyle w:val="Heading1"/>
        <w:jc w:val="both"/>
      </w:pPr>
      <w:r>
        <w:t>2. From Logits to Words: Temperature, Top-k, and Top-p</w:t>
      </w:r>
    </w:p>
    <w:p w14:paraId="4D8B302E" w14:textId="77777777" w:rsidR="00A012C7" w:rsidRDefault="00000000" w:rsidP="00D72F77">
      <w:pPr>
        <w:spacing w:after="200" w:line="300" w:lineRule="auto"/>
        <w:jc w:val="both"/>
      </w:pPr>
      <w:r>
        <w:t>The final linear layer's output is a set of logits — one raw, unnormalized score per vocabulary word. Logits alone aren't usable directly; they need to become a probability distribution, and exactly how that conversion happens is controlled by a few practical settings worth knowing cold.</w:t>
      </w:r>
    </w:p>
    <w:p w14:paraId="6FC428C7" w14:textId="77777777" w:rsidR="00A012C7" w:rsidRDefault="00000000" w:rsidP="00D72F77">
      <w:pPr>
        <w:pBdr>
          <w:left w:val="single" w:sz="24" w:space="8" w:color="8B2E2E"/>
        </w:pBdr>
        <w:shd w:val="clear" w:color="auto" w:fill="FBEEE6"/>
        <w:spacing w:before="160" w:after="60"/>
        <w:ind w:left="100"/>
        <w:jc w:val="both"/>
      </w:pPr>
      <w:r>
        <w:rPr>
          <w:b/>
          <w:bCs/>
          <w:color w:val="8B2E2E"/>
        </w:rPr>
        <w:t>⭑ Important — temperature (a near-guaranteed interview question)</w:t>
      </w:r>
    </w:p>
    <w:p w14:paraId="535D52DA" w14:textId="77777777" w:rsidR="00A012C7" w:rsidRDefault="00000000" w:rsidP="00D72F77">
      <w:pPr>
        <w:pBdr>
          <w:left w:val="single" w:sz="24" w:space="8" w:color="8B2E2E"/>
        </w:pBdr>
        <w:shd w:val="clear" w:color="auto" w:fill="FBEEE6"/>
        <w:spacing w:after="220"/>
        <w:ind w:left="100"/>
        <w:jc w:val="both"/>
      </w:pPr>
      <w:r>
        <w:t>Before softmax runs, every logit gets divided by a temperature value, generally kept between roughly 0.2 and 1. Dividing by a value close to 1 leaves the logits close to unchanged; dividing by a smaller value sharpens the differences between logits before softmax sees them, which makes the resulting probability distribution more peaked around the single highest-scoring word — in practice, a lower temperature makes output more deterministic and conservative, while a higher temperature flattens the distribution and produces more varied, "creative" output. This exact question — "what does temperature do?" — comes up constantly in interviews, and the answer is precisely this: it's a scaling factor applied to the logits before softmax, and it controls how sharply the model commits to its highest-probability choice.</w:t>
      </w:r>
    </w:p>
    <w:p w14:paraId="3E405913" w14:textId="77777777" w:rsidR="00A012C7" w:rsidRDefault="00000000" w:rsidP="00D72F77">
      <w:pPr>
        <w:spacing w:after="200" w:line="300" w:lineRule="auto"/>
        <w:jc w:val="both"/>
      </w:pPr>
      <w:r>
        <w:lastRenderedPageBreak/>
        <w:t>Once you have a probability distribution, two different strategies decide which words are actually eligible to be picked. Top-k filtering selects a fixed number of the highest-scoring logits first, and only then applies softmax across that reduced set — so if k = 5, exactly 5 candidate words are considered, regardless of how their probabilities end up distributed. Top-p (nucleus) sampling works in the opposite order: softmax runs first across the entire vocabulary, and only afterward does the filtering happen, keeping the smallest set of words whose cumulative probability crosses a chosen threshold (commonly around 0.5) — this means the eligible set can be small when the model is confident and larger when it's uncertain, unlike top-k's fixed count. Both are hyperparameters you choose per use case; top-k tends to be the more common default, though top-p is often preferred for tasks that benefit from more varied output.</w:t>
      </w:r>
    </w:p>
    <w:p w14:paraId="45A60C9D" w14:textId="77777777" w:rsidR="00A012C7" w:rsidRDefault="00000000" w:rsidP="00D72F77">
      <w:pPr>
        <w:pStyle w:val="Heading1"/>
        <w:jc w:val="both"/>
      </w:pPr>
      <w:r>
        <w:t>3. Masked (Causal) Multi-Head Attention</w:t>
      </w:r>
    </w:p>
    <w:p w14:paraId="0E3EAD4B" w14:textId="77777777" w:rsidR="00A012C7" w:rsidRDefault="00000000" w:rsidP="00D72F77">
      <w:pPr>
        <w:spacing w:after="200" w:line="300" w:lineRule="auto"/>
        <w:jc w:val="both"/>
      </w:pPr>
      <w:r>
        <w:t>This is the one mechanical piece the decoder has that the encoder doesn't, and it exists to enforce a single rule: a decoder generates one token at a time, and at the moment it's generating token N, it must behave as if tokens N+1 onward don't exist yet — because during real inference, they genuinely don't exist yet. This property is called autoregressive generation, and every decoder-based architecture follows it without exception. The mechanism that enforces it is called a mask, and "masked attention" and "causal attention" are two names for the exact same thing.</w:t>
      </w:r>
    </w:p>
    <w:p w14:paraId="158AC9F3" w14:textId="77777777" w:rsidR="00A012C7" w:rsidRDefault="00000000" w:rsidP="00D72F77">
      <w:pPr>
        <w:pBdr>
          <w:left w:val="single" w:sz="24" w:space="8" w:color="8B2E2E"/>
        </w:pBdr>
        <w:shd w:val="clear" w:color="auto" w:fill="FBEEE6"/>
        <w:spacing w:before="160" w:after="60"/>
        <w:ind w:left="100"/>
        <w:jc w:val="both"/>
      </w:pPr>
      <w:r>
        <w:rPr>
          <w:b/>
          <w:bCs/>
          <w:color w:val="8B2E2E"/>
        </w:rPr>
        <w:t>⭑ Important — what a mask actually is, step by step</w:t>
      </w:r>
    </w:p>
    <w:p w14:paraId="08722F7F" w14:textId="77777777" w:rsidR="00A012C7" w:rsidRDefault="00000000" w:rsidP="00D72F77">
      <w:pPr>
        <w:pBdr>
          <w:left w:val="single" w:sz="24" w:space="8" w:color="8B2E2E"/>
        </w:pBdr>
        <w:shd w:val="clear" w:color="auto" w:fill="FBEEE6"/>
        <w:spacing w:after="60"/>
        <w:ind w:left="100"/>
        <w:jc w:val="both"/>
      </w:pPr>
      <w:r>
        <w:t>Picture a square matrix the size of your sequence length, built using something like torch.tril, which keeps only the lower-triangular half of a matrix (including the diagonal) and zeroes out everything above it. Read row by row: row 1 can only see column 1 (itself); row 2 can see columns 1 and 2 (itself and the one before it); row 3 can see columns 1 through 3; and so on. Every entry above the diagonal — every position representing a future token — is excluded. This lower-triangular shape is the entire idea of a mask: each token can see itself and everything before it, and nothing after.</w:t>
      </w:r>
    </w:p>
    <w:p w14:paraId="1F94C1CD" w14:textId="77777777" w:rsidR="00A012C7" w:rsidRDefault="00000000" w:rsidP="00D72F77">
      <w:pPr>
        <w:pBdr>
          <w:left w:val="single" w:sz="24" w:space="8" w:color="8B2E2E"/>
        </w:pBdr>
        <w:shd w:val="clear" w:color="auto" w:fill="FBEEE6"/>
        <w:spacing w:after="60"/>
        <w:ind w:left="100"/>
        <w:jc w:val="both"/>
      </w:pPr>
      <w:r>
        <w:t>Mechanically, this gets built into the standard scaled dot-product attention pipeline with exactly one new step. Steps 1–4 are identical to plain self-attention: project X into Q, K, and V, compute raw scores via Q·Kᵀ, and scale by dividing by √d_k. Step 5 introduces a mask matrix the same size as the score matrix, filled with 0 in every allowed (past-or-self) position and negative infinity in every disallowed (future) position. Step 6 adds this mask directly onto the scaled scores: adding 0 leaves an allowed score completely unchanged, while adding negative infinity to a disallowed score drives it to negative infinity, regardless of what the original score was.</w:t>
      </w:r>
    </w:p>
    <w:p w14:paraId="28DBA4D3" w14:textId="77777777" w:rsidR="00A012C7" w:rsidRDefault="00000000" w:rsidP="00D72F77">
      <w:pPr>
        <w:pBdr>
          <w:left w:val="single" w:sz="24" w:space="8" w:color="8B2E2E"/>
        </w:pBdr>
        <w:shd w:val="clear" w:color="auto" w:fill="FBEEE6"/>
        <w:spacing w:after="220"/>
        <w:ind w:left="100"/>
        <w:jc w:val="both"/>
      </w:pPr>
      <w:r>
        <w:t>Step 7 is where this pays off: once softmax runs over a row containing some ordinary numbers and some negative-infinity values, e raised to the power of negative infinity evaluates to (effectively) zero — so every disallowed position ends up with exactly 0% probability after softmax, while the allowed positions redistribute the remaining probability among themselves and still sum to 1. This is why negative infinity is used instead of, say, a simple 0/1 boolean mask applied after softmax: adding negative infinity before softmax guarantees those positions vanish completely and mathematically cleanly, rather than needing a separate manual zeroing step afterward. From here, the pipeline finishes exactly like ordinary self-attention — multiply these masked, normalized weights against V to get your final contextualized output.</w:t>
      </w:r>
    </w:p>
    <w:p w14:paraId="0D4EF3D8" w14:textId="77777777" w:rsidR="00A012C7" w:rsidRDefault="00000000" w:rsidP="00D72F77">
      <w:pPr>
        <w:spacing w:after="200" w:line="300" w:lineRule="auto"/>
        <w:jc w:val="both"/>
      </w:pPr>
      <w:r>
        <w:t xml:space="preserve">One more property worth locking in: encoders are bidirectional (they can look both backward and forward across a sequence, which is exactly why there's no mask on the encoder side), while decoders are strictly unidirectional because of this masking mechanism. This distinction is the mechanical reason behind the </w:t>
      </w:r>
      <w:r>
        <w:lastRenderedPageBreak/>
        <w:t>encoder-only-vs-decoder-only framing from the previous session — bidirectional access requires no mask; autoregressive, one-token-at-a-time generation requires one.</w:t>
      </w:r>
    </w:p>
    <w:p w14:paraId="28ED59FF" w14:textId="77777777" w:rsidR="00A012C7" w:rsidRDefault="00000000" w:rsidP="00D72F77">
      <w:pPr>
        <w:pStyle w:val="Heading1"/>
        <w:jc w:val="both"/>
      </w:pPr>
      <w:r>
        <w:t>4. Positional Encoding: The Full Derivation</w:t>
      </w:r>
    </w:p>
    <w:p w14:paraId="34A24BC7" w14:textId="77777777" w:rsidR="00A012C7" w:rsidRDefault="00000000" w:rsidP="00D72F77">
      <w:pPr>
        <w:spacing w:after="200" w:line="300" w:lineRule="auto"/>
        <w:jc w:val="both"/>
      </w:pPr>
      <w:r>
        <w:t>Self-attention and multi-head attention both have zero built-in sensitivity to word order — every token can mathematically reach every other token regardless of position, which is exactly what makes them powerful but also means order has to be reintroduced from somewhere else entirely. That somewhere else is positional encoding: a fixed-size vector, one per position, added directly on top of the token embedding (not concatenated — added, which is only possible because both vectors are built to share the exact same dimensionality).</w:t>
      </w:r>
    </w:p>
    <w:p w14:paraId="5141D75A" w14:textId="77777777" w:rsidR="00A012C7" w:rsidRDefault="00000000" w:rsidP="00D72F77">
      <w:pPr>
        <w:pBdr>
          <w:left w:val="single" w:sz="24" w:space="8" w:color="8B2E2E"/>
        </w:pBdr>
        <w:shd w:val="clear" w:color="auto" w:fill="FBEEE6"/>
        <w:spacing w:before="160" w:after="60"/>
        <w:ind w:left="100"/>
        <w:jc w:val="both"/>
      </w:pPr>
      <w:r>
        <w:rPr>
          <w:b/>
          <w:bCs/>
          <w:color w:val="8B2E2E"/>
        </w:rPr>
        <w:t>⭑ Important — the sine/cosine formula, unpacked</w:t>
      </w:r>
    </w:p>
    <w:p w14:paraId="65EF6B2A" w14:textId="77777777" w:rsidR="00A012C7" w:rsidRDefault="00000000" w:rsidP="00D72F77">
      <w:pPr>
        <w:pBdr>
          <w:left w:val="single" w:sz="24" w:space="8" w:color="8B2E2E"/>
        </w:pBdr>
        <w:shd w:val="clear" w:color="auto" w:fill="FBEEE6"/>
        <w:spacing w:after="60"/>
        <w:ind w:left="100"/>
        <w:jc w:val="both"/>
      </w:pPr>
      <w:r>
        <w:t>The paper's formula is PE(pos, 2i) = sin(pos / 10000^(2i/d_model)) for even dimensions, and PE(pos, 2i+1) = cos(pos / 10000^(2i/d_model)) for odd dimensions — where pos is the token's position in the sequence (0, 1, 2, …) and i indexes a pair of dimensions, not a single dimension. Every embedding dimension ends up assigned to either a sine or a cosine wave, alternating: dimensions 0 and 1 form the first pair and share one exponent value, dimensions 2 and 3 form the next pair and share the next exponent value, and so on — this pairing exists because sine and cosine work together, not independently, in the derivation below.</w:t>
      </w:r>
    </w:p>
    <w:p w14:paraId="2CEF1170" w14:textId="77777777" w:rsidR="00A012C7" w:rsidRDefault="00000000" w:rsidP="00D72F77">
      <w:pPr>
        <w:pBdr>
          <w:left w:val="single" w:sz="24" w:space="8" w:color="8B2E2E"/>
        </w:pBdr>
        <w:shd w:val="clear" w:color="auto" w:fill="FBEEE6"/>
        <w:spacing w:after="60"/>
        <w:ind w:left="100"/>
        <w:jc w:val="both"/>
      </w:pPr>
      <w:r>
        <w:t>Why sine and cosine specifically, and not some other function: two properties matter. First, periodicity — sine and cosine repeat in fixed intervals rather than growing without bound (unlike, say, tan, which is unusable here), which keeps the encoding well-behaved and memory-efficient even for very long sequences. Second, and more importantly, the angle-addition identities — sin(A+B) = sin(A)cos(B) + cos(A)sin(B), and the analogous identity for cos(A+B) — mean that the encoding for any position "pos + k" can be expressed as a (roughly) linear combination of the encoding at position "pos" and a fixed offset k. That's precisely what lets the model learn to attend by relative position, not just absolute position — the paper's own stated hypothesis for choosing this formula in the first place.</w:t>
      </w:r>
    </w:p>
    <w:p w14:paraId="6A7CADBB" w14:textId="77777777" w:rsidR="00A012C7" w:rsidRDefault="00000000" w:rsidP="00D72F77">
      <w:pPr>
        <w:pBdr>
          <w:left w:val="single" w:sz="24" w:space="8" w:color="8B2E2E"/>
        </w:pBdr>
        <w:shd w:val="clear" w:color="auto" w:fill="FBEEE6"/>
        <w:spacing w:after="220"/>
        <w:ind w:left="100"/>
        <w:jc w:val="both"/>
      </w:pPr>
      <w:r>
        <w:t>The constant 10,000 is an empirical choice, not a theoretical one: it controls how spread out the different dimensions' wavelengths are. The paper's authors tested smaller bases (around 2,000–3,000) and found the wavelengths overlapped too much across dimensions; 10,000 gave meaningfully less overlap, and larger bases tested (around 20,000) didn't meaningfully improve on that. Less overlap between dimensions' wavelengths means each dimension carries more genuinely distinct positional information rather than redundant information.</w:t>
      </w:r>
    </w:p>
    <w:p w14:paraId="4C21DA0A" w14:textId="77777777" w:rsidR="00A012C7" w:rsidRDefault="00000000" w:rsidP="00D72F77">
      <w:pPr>
        <w:spacing w:after="200" w:line="300" w:lineRule="auto"/>
        <w:jc w:val="both"/>
      </w:pPr>
      <w:r>
        <w:t>A worked example makes the pairing concrete. Take d_model = 4 (four dimensions total, so two sine/cosine pairs) and position 0: every value uses angle 0/10000^(exponent), which is just 0 regardless of the exponent, so sin(0) = 0 and cos(0) = 1 for both pairs — position 0's encoding is [0, 1, 0, 1]. Move to position 1: the first pair's exponent is 0, giving sin(1) ≈ 0.84 and cos(1) ≈ 0.54; the second pair's exponent is 2/4 = 0.5, giving sin(1/10000^0.5) ≈ 0.01 and cos(that same angle) ≈ 0.9995 — position 1's encoding is [0.84, 0.54, 0.01, 0.9995]. Each of these four numbers gets added directly onto the corresponding dimension of that token's embedding. You'd repeat this same calculation for every position in your sequence and every dimension pair in your model.</w:t>
      </w:r>
    </w:p>
    <w:p w14:paraId="49B69C2E" w14:textId="77777777" w:rsidR="00A012C7" w:rsidRDefault="00000000" w:rsidP="00D72F77">
      <w:pPr>
        <w:spacing w:after="200" w:line="300" w:lineRule="auto"/>
        <w:jc w:val="both"/>
      </w:pPr>
      <w:r>
        <w:t xml:space="preserve">Two more things worth keeping: this entire process is a fixed, deterministic formula — no neural network and no training are required to generate it, which is exactly why it can be computed in one line in NumPy or PyTorch. And embedding dimensions are always chosen as an even number specifically because this sine/cosine scheme needs to pair dimensions up; an odd dimension count would leave one dimension without a partner. Also worth </w:t>
      </w:r>
      <w:r>
        <w:lastRenderedPageBreak/>
        <w:t>knowing for context: this particular sinusoidal formula was largely superseded within a few years of the original paper — most current-generation LLMs use either learned positional embeddings (a small trainable model dedicated purely to learning position) or newer schemes like RoPE or ALiBi, covered in a later module.</w:t>
      </w:r>
    </w:p>
    <w:p w14:paraId="7D9275C9" w14:textId="77777777" w:rsidR="00A012C7" w:rsidRDefault="00000000" w:rsidP="00D72F77">
      <w:pPr>
        <w:pStyle w:val="Heading1"/>
        <w:jc w:val="both"/>
      </w:pPr>
      <w:r>
        <w:t>5. Cross-Attention: Connecting Encoder to Decoder</w:t>
      </w:r>
    </w:p>
    <w:p w14:paraId="76BDA17E" w14:textId="77777777" w:rsidR="00A012C7" w:rsidRDefault="00000000" w:rsidP="00D72F77">
      <w:pPr>
        <w:spacing w:after="200" w:line="300" w:lineRule="auto"/>
        <w:jc w:val="both"/>
      </w:pPr>
      <w:r>
        <w:t>Every mechanism covered before today — self-attention, multi-head attention, masked attention — operates on a single sequence talking to itself. Cross-attention is different: it's the mechanism that lets the decoder actually look at the encoder's output, and without it, an encoder and a decoder are just two unconnected blocks. Cross-attention is also considerably older than self-attention historically — it traces back to roughly 2014, years before the 2017 Transformer paper, appearing first under names like intra-attention before the modern naming settled.</w:t>
      </w:r>
    </w:p>
    <w:p w14:paraId="63E95A2E" w14:textId="77777777" w:rsidR="00A012C7" w:rsidRDefault="00000000" w:rsidP="00D72F77">
      <w:pPr>
        <w:pBdr>
          <w:left w:val="single" w:sz="24" w:space="8" w:color="8B2E2E"/>
        </w:pBdr>
        <w:shd w:val="clear" w:color="auto" w:fill="FBEEE6"/>
        <w:spacing w:before="160" w:after="60"/>
        <w:ind w:left="100"/>
        <w:jc w:val="both"/>
      </w:pPr>
      <w:r>
        <w:rPr>
          <w:b/>
          <w:bCs/>
          <w:color w:val="8B2E2E"/>
        </w:rPr>
        <w:t>⭑ Important — where Q, K, and V each come from in cross-attention</w:t>
      </w:r>
    </w:p>
    <w:p w14:paraId="0A3576D9" w14:textId="77777777" w:rsidR="00A012C7" w:rsidRDefault="00000000" w:rsidP="00D72F77">
      <w:pPr>
        <w:pBdr>
          <w:left w:val="single" w:sz="24" w:space="8" w:color="8B2E2E"/>
        </w:pBdr>
        <w:shd w:val="clear" w:color="auto" w:fill="FBEEE6"/>
        <w:spacing w:after="60"/>
        <w:ind w:left="100"/>
        <w:jc w:val="both"/>
      </w:pPr>
      <w:r>
        <w:t>In cross-attention specifically, Key and Value come from the encoder's final output — the fully contextualized vectors produced after the encoder has finished all of its blocks. Query comes from the decoder side instead — specifically, from the output of the decoder's own masked self-attention layer, which runs first, one step before cross-attention. This is the one rule to hold onto: cross-attention fuses the encoder's K and V with the decoder's Q. The decoder's own K and V (from its masked self-attention step) aren't discarded — they're simply used earlier, inside that masked self-attention layer, and don't participate directly in the cross-attention fusion itself.</w:t>
      </w:r>
    </w:p>
    <w:p w14:paraId="401D1808" w14:textId="77777777" w:rsidR="00A012C7" w:rsidRDefault="00000000" w:rsidP="00D72F77">
      <w:pPr>
        <w:pBdr>
          <w:left w:val="single" w:sz="24" w:space="8" w:color="8B2E2E"/>
        </w:pBdr>
        <w:shd w:val="clear" w:color="auto" w:fill="FBEEE6"/>
        <w:spacing w:after="220"/>
        <w:ind w:left="100"/>
        <w:jc w:val="both"/>
      </w:pPr>
      <w:r>
        <w:t>There is no masking in cross-attention — masking exists purely to enforce the decoder's autoregressive property within its own sequence, and cross-attention isn't operating within one sequence; it's fusing two different sequences together (the source and the target, in a translation task). This fusion happens at every single decoder block — if you have 6 or 12 stacked decoder blocks, every one of them receives the same K and V from the encoder's final output and performs its own cross-attention using its own layer's Q.</w:t>
      </w:r>
    </w:p>
    <w:p w14:paraId="372FC366" w14:textId="77777777" w:rsidR="00A012C7" w:rsidRDefault="00000000" w:rsidP="00D72F77">
      <w:pPr>
        <w:spacing w:after="200" w:line="300" w:lineRule="auto"/>
        <w:jc w:val="both"/>
      </w:pPr>
      <w:r>
        <w:t>Cross-attention is only needed when both an encoder and a decoder are present in the same architecture — a standalone encoder (like BERT) or a standalone decoder (like GPT) never uses it, precisely because there's no second sequence to fuse with. It remains essential in any genuine encoder-decoder architecture: T5, BART, and MarianMT all rely on it for exactly this reason. One clarifying point that came up in discussion: the alignment between an English encoder and a German decoder isn't something that exists prior to training — it's learned jointly, through ordinary supervised training on paired input/output examples, the same way every other weight in the network is learned. There's no separate alignment step; the whole system (encoder and decoder together) is trained end to end on matched sequence pairs, and cross-attention is simply the channel through which that learned alignment gets used at every generation step, both during training and at inference.</w:t>
      </w:r>
    </w:p>
    <w:p w14:paraId="3E67E763" w14:textId="77777777" w:rsidR="00A012C7" w:rsidRDefault="00000000" w:rsidP="00D72F77">
      <w:pPr>
        <w:pStyle w:val="Heading1"/>
        <w:jc w:val="both"/>
      </w:pPr>
      <w:r>
        <w:t>6. Putting the Full Encoder-Decoder Flow Together</w:t>
      </w:r>
    </w:p>
    <w:p w14:paraId="332497CF" w14:textId="77777777" w:rsidR="00A012C7" w:rsidRDefault="00000000" w:rsidP="00D72F77">
      <w:pPr>
        <w:spacing w:after="200" w:line="300" w:lineRule="auto"/>
        <w:jc w:val="both"/>
      </w:pPr>
      <w:r>
        <w:t>With every piece now covered, the complete data flow for a sequence-to-sequence task (machine translation, in the paper's own example) reads start to finish as: the source sentence is tokenized, embedded, and combined with positional encoding, then passed through N encoder blocks (self-attention, add-and-norm, feed-forward, add-and-norm, repeated) to produce a final set of contextualized K and V vectors. Separately, the target sentence follows the same embedding-plus-positional-encoding step on the decoder side, then passes through masked self-attention (using its own Q, K, and V) so each position only sees itself and earlier positions. The output of that masked self-attention becomes the Query for cross-attention, where it's fused with the K and V arriving from the encoder's final output. From there, the result passes through the decoder's own feed-forward layer, residual connections, and normalization — the same structural pattern as an encoder block, just with the extra masked-attention and cross-attention steps included — repeated across every stacked decoder block, and finally through one linear-plus-softmax layer that produces the next token's probability distribution.</w:t>
      </w:r>
    </w:p>
    <w:p w14:paraId="1DE0A7AF" w14:textId="77777777" w:rsidR="00A012C7" w:rsidRDefault="00000000" w:rsidP="00D72F77">
      <w:pPr>
        <w:spacing w:after="200" w:line="300" w:lineRule="auto"/>
        <w:jc w:val="both"/>
      </w:pPr>
      <w:r>
        <w:t>Generation is strictly sequential because of the autoregressive property from Section 3: one token gets produced, then fed back in as part of the input for producing the next one, and so on until the sequence is complete. This is true both during training (where the correct target sequence is available and cross-attention runs against it, shifted by one position so the model is always predicting the next token from everything before it) and during inference (where there's no target sequence to look at yet, so each generated token becomes the newest piece of context for the next step).</w:t>
      </w:r>
    </w:p>
    <w:p w14:paraId="4E8DA2FD" w14:textId="77777777" w:rsidR="00A012C7" w:rsidRDefault="00000000" w:rsidP="00D72F77">
      <w:pPr>
        <w:pStyle w:val="Heading1"/>
        <w:jc w:val="both"/>
      </w:pPr>
      <w:r>
        <w:t>7. Closing Notes / What's Next</w:t>
      </w:r>
    </w:p>
    <w:p w14:paraId="2AB2A984" w14:textId="77777777" w:rsidR="00A012C7" w:rsidRDefault="00000000" w:rsidP="00D72F77">
      <w:pPr>
        <w:spacing w:after="200" w:line="300" w:lineRule="auto"/>
        <w:jc w:val="both"/>
      </w:pPr>
      <w:r>
        <w:t>This closes out the theory portion of the Transformer architecture — everything from embeddings and self-attention through multi-head attention, positional encoding, masking, and cross-attention has now been covered end to end. Next session shifts entirely to practicals: building the full encoder-decoder architecture from scratch, training it, saving the resulting weights, and using them to generate predictions, following the Annotated Transformer reference implementation shared this week. No further theory sessions are planned for this module — going forward, the emphasis moves to hands-on implementation.</w:t>
      </w:r>
    </w:p>
    <w:p w14:paraId="231DEC1F" w14:textId="77777777" w:rsidR="00A012C7" w:rsidRDefault="00000000" w:rsidP="00D72F77">
      <w:pPr>
        <w:spacing w:after="200" w:line="300" w:lineRule="auto"/>
        <w:jc w:val="both"/>
      </w:pPr>
      <w:r>
        <w:t>There's no separate homework beyond spending time with the Annotated Transformer material shared ahead of next session, and revisiting today's positional-encoding derivation (Section 4) if the sine/cosine pairing logic didn't fully land the first time through — this is dense, genuinely mathematical material, and a second pass is expected to help.</w:t>
      </w:r>
    </w:p>
    <w:p w14:paraId="4DF81975" w14:textId="77777777" w:rsidR="00A012C7" w:rsidRDefault="00000000" w:rsidP="00D72F77">
      <w:pPr>
        <w:pStyle w:val="Heading1"/>
        <w:jc w:val="both"/>
      </w:pPr>
      <w:r>
        <w:t>Quick-Reference Glossary</w:t>
      </w:r>
    </w:p>
    <w:tbl>
      <w:tblPr>
        <w:tblW w:w="9000" w:type="dxa"/>
        <w:tblInd w:w="-3" w:type="dxa"/>
        <w:tblBorders>
          <w:top w:val="single" w:sz="4" w:space="0" w:color="C9BBAE"/>
          <w:left w:val="single" w:sz="4" w:space="0" w:color="C9BBAE"/>
          <w:bottom w:val="single" w:sz="4" w:space="0" w:color="C9BBAE"/>
          <w:right w:val="single" w:sz="4" w:space="0" w:color="C9BBAE"/>
          <w:insideH w:val="single" w:sz="4" w:space="0" w:color="C9BBAE"/>
          <w:insideV w:val="single" w:sz="4" w:space="0" w:color="C9BBAE"/>
        </w:tblBorders>
        <w:tblCellMar>
          <w:left w:w="10" w:type="dxa"/>
          <w:right w:w="10" w:type="dxa"/>
        </w:tblCellMar>
        <w:tblLook w:val="0000" w:firstRow="0" w:lastRow="0" w:firstColumn="0" w:lastColumn="0" w:noHBand="0" w:noVBand="0"/>
      </w:tblPr>
      <w:tblGrid>
        <w:gridCol w:w="3000"/>
        <w:gridCol w:w="6000"/>
      </w:tblGrid>
      <w:tr w:rsidR="00A012C7" w14:paraId="6FC80810" w14:textId="77777777">
        <w:tblPrEx>
          <w:tblCellMar>
            <w:top w:w="0" w:type="dxa"/>
            <w:bottom w:w="0" w:type="dxa"/>
          </w:tblCellMar>
        </w:tblPrEx>
        <w:trPr>
          <w:tblHeader/>
        </w:trPr>
        <w:tc>
          <w:tcPr>
            <w:tcW w:w="3000" w:type="dxa"/>
            <w:shd w:val="clear" w:color="auto" w:fill="EDE3DA"/>
            <w:tcMar>
              <w:top w:w="80" w:type="dxa"/>
              <w:left w:w="100" w:type="dxa"/>
              <w:bottom w:w="80" w:type="dxa"/>
              <w:right w:w="100" w:type="dxa"/>
            </w:tcMar>
          </w:tcPr>
          <w:p w14:paraId="41F5802F" w14:textId="77777777" w:rsidR="00A012C7" w:rsidRDefault="00000000" w:rsidP="00D72F77">
            <w:pPr>
              <w:jc w:val="both"/>
            </w:pPr>
            <w:r>
              <w:rPr>
                <w:b/>
                <w:bCs/>
              </w:rPr>
              <w:t>Term</w:t>
            </w:r>
          </w:p>
        </w:tc>
        <w:tc>
          <w:tcPr>
            <w:tcW w:w="6000" w:type="dxa"/>
            <w:shd w:val="clear" w:color="auto" w:fill="EDE3DA"/>
            <w:tcMar>
              <w:top w:w="80" w:type="dxa"/>
              <w:left w:w="100" w:type="dxa"/>
              <w:bottom w:w="80" w:type="dxa"/>
              <w:right w:w="100" w:type="dxa"/>
            </w:tcMar>
          </w:tcPr>
          <w:p w14:paraId="02436D62" w14:textId="77777777" w:rsidR="00A012C7" w:rsidRDefault="00000000" w:rsidP="00D72F77">
            <w:pPr>
              <w:jc w:val="both"/>
            </w:pPr>
            <w:r>
              <w:rPr>
                <w:b/>
                <w:bCs/>
              </w:rPr>
              <w:t>Meaning</w:t>
            </w:r>
          </w:p>
        </w:tc>
      </w:tr>
      <w:tr w:rsidR="00A012C7" w14:paraId="09A8409B" w14:textId="77777777">
        <w:tblPrEx>
          <w:tblCellMar>
            <w:top w:w="0" w:type="dxa"/>
            <w:bottom w:w="0" w:type="dxa"/>
          </w:tblCellMar>
        </w:tblPrEx>
        <w:tc>
          <w:tcPr>
            <w:tcW w:w="3000" w:type="dxa"/>
            <w:tcMar>
              <w:top w:w="60" w:type="dxa"/>
              <w:left w:w="100" w:type="dxa"/>
              <w:bottom w:w="60" w:type="dxa"/>
              <w:right w:w="100" w:type="dxa"/>
            </w:tcMar>
          </w:tcPr>
          <w:p w14:paraId="67EA483F" w14:textId="77777777" w:rsidR="00A012C7" w:rsidRDefault="00000000" w:rsidP="00D72F77">
            <w:pPr>
              <w:jc w:val="both"/>
            </w:pPr>
            <w:r>
              <w:t>Logits</w:t>
            </w:r>
          </w:p>
        </w:tc>
        <w:tc>
          <w:tcPr>
            <w:tcW w:w="6000" w:type="dxa"/>
            <w:tcMar>
              <w:top w:w="60" w:type="dxa"/>
              <w:left w:w="100" w:type="dxa"/>
              <w:bottom w:w="60" w:type="dxa"/>
              <w:right w:w="100" w:type="dxa"/>
            </w:tcMar>
          </w:tcPr>
          <w:p w14:paraId="21E2822A" w14:textId="77777777" w:rsidR="00A012C7" w:rsidRDefault="00000000" w:rsidP="00D72F77">
            <w:pPr>
              <w:jc w:val="both"/>
            </w:pPr>
            <w:r>
              <w:t>Raw, unnormalized scores output by the final linear layer — one per vocabulary word, not yet a probability distribution.</w:t>
            </w:r>
          </w:p>
        </w:tc>
      </w:tr>
      <w:tr w:rsidR="00A012C7" w14:paraId="600A1C90" w14:textId="77777777">
        <w:tblPrEx>
          <w:tblCellMar>
            <w:top w:w="0" w:type="dxa"/>
            <w:bottom w:w="0" w:type="dxa"/>
          </w:tblCellMar>
        </w:tblPrEx>
        <w:tc>
          <w:tcPr>
            <w:tcW w:w="3000" w:type="dxa"/>
            <w:tcMar>
              <w:top w:w="60" w:type="dxa"/>
              <w:left w:w="100" w:type="dxa"/>
              <w:bottom w:w="60" w:type="dxa"/>
              <w:right w:w="100" w:type="dxa"/>
            </w:tcMar>
          </w:tcPr>
          <w:p w14:paraId="16C32864" w14:textId="77777777" w:rsidR="00A012C7" w:rsidRDefault="00000000" w:rsidP="00D72F77">
            <w:pPr>
              <w:jc w:val="both"/>
            </w:pPr>
            <w:r>
              <w:t>Temperature</w:t>
            </w:r>
          </w:p>
        </w:tc>
        <w:tc>
          <w:tcPr>
            <w:tcW w:w="6000" w:type="dxa"/>
            <w:tcMar>
              <w:top w:w="60" w:type="dxa"/>
              <w:left w:w="100" w:type="dxa"/>
              <w:bottom w:w="60" w:type="dxa"/>
              <w:right w:w="100" w:type="dxa"/>
            </w:tcMar>
          </w:tcPr>
          <w:p w14:paraId="57F15300" w14:textId="77777777" w:rsidR="00A012C7" w:rsidRDefault="00000000" w:rsidP="00D72F77">
            <w:pPr>
              <w:jc w:val="both"/>
            </w:pPr>
            <w:r>
              <w:t>Value logits are divided by before softmax; lower = more deterministic output, higher = more varied/creative output.</w:t>
            </w:r>
          </w:p>
        </w:tc>
      </w:tr>
      <w:tr w:rsidR="00A012C7" w14:paraId="108822E7" w14:textId="77777777">
        <w:tblPrEx>
          <w:tblCellMar>
            <w:top w:w="0" w:type="dxa"/>
            <w:bottom w:w="0" w:type="dxa"/>
          </w:tblCellMar>
        </w:tblPrEx>
        <w:tc>
          <w:tcPr>
            <w:tcW w:w="3000" w:type="dxa"/>
            <w:tcMar>
              <w:top w:w="60" w:type="dxa"/>
              <w:left w:w="100" w:type="dxa"/>
              <w:bottom w:w="60" w:type="dxa"/>
              <w:right w:w="100" w:type="dxa"/>
            </w:tcMar>
          </w:tcPr>
          <w:p w14:paraId="7EF699EC" w14:textId="77777777" w:rsidR="00A012C7" w:rsidRDefault="00000000" w:rsidP="00D72F77">
            <w:pPr>
              <w:jc w:val="both"/>
            </w:pPr>
            <w:r>
              <w:t>Top-k sampling</w:t>
            </w:r>
          </w:p>
        </w:tc>
        <w:tc>
          <w:tcPr>
            <w:tcW w:w="6000" w:type="dxa"/>
            <w:tcMar>
              <w:top w:w="60" w:type="dxa"/>
              <w:left w:w="100" w:type="dxa"/>
              <w:bottom w:w="60" w:type="dxa"/>
              <w:right w:w="100" w:type="dxa"/>
            </w:tcMar>
          </w:tcPr>
          <w:p w14:paraId="557BFC3A" w14:textId="77777777" w:rsidR="00A012C7" w:rsidRDefault="00000000" w:rsidP="00D72F77">
            <w:pPr>
              <w:jc w:val="both"/>
            </w:pPr>
            <w:r>
              <w:t>Filters to the k highest-scoring logits first, then applies softmax over just that reduced set.</w:t>
            </w:r>
          </w:p>
        </w:tc>
      </w:tr>
      <w:tr w:rsidR="00A012C7" w14:paraId="5878D698" w14:textId="77777777">
        <w:tblPrEx>
          <w:tblCellMar>
            <w:top w:w="0" w:type="dxa"/>
            <w:bottom w:w="0" w:type="dxa"/>
          </w:tblCellMar>
        </w:tblPrEx>
        <w:tc>
          <w:tcPr>
            <w:tcW w:w="3000" w:type="dxa"/>
            <w:tcMar>
              <w:top w:w="60" w:type="dxa"/>
              <w:left w:w="100" w:type="dxa"/>
              <w:bottom w:w="60" w:type="dxa"/>
              <w:right w:w="100" w:type="dxa"/>
            </w:tcMar>
          </w:tcPr>
          <w:p w14:paraId="51AFA5A0" w14:textId="77777777" w:rsidR="00A012C7" w:rsidRDefault="00000000" w:rsidP="00D72F77">
            <w:pPr>
              <w:jc w:val="both"/>
            </w:pPr>
            <w:r>
              <w:t>Top-p (nucleus) sampling</w:t>
            </w:r>
          </w:p>
        </w:tc>
        <w:tc>
          <w:tcPr>
            <w:tcW w:w="6000" w:type="dxa"/>
            <w:tcMar>
              <w:top w:w="60" w:type="dxa"/>
              <w:left w:w="100" w:type="dxa"/>
              <w:bottom w:w="60" w:type="dxa"/>
              <w:right w:w="100" w:type="dxa"/>
            </w:tcMar>
          </w:tcPr>
          <w:p w14:paraId="5A71BD52" w14:textId="77777777" w:rsidR="00A012C7" w:rsidRDefault="00000000" w:rsidP="00D72F77">
            <w:pPr>
              <w:jc w:val="both"/>
            </w:pPr>
            <w:r>
              <w:t>Applies softmax first, then keeps the smallest set of words whose cumulative probability crosses a chosen threshold.</w:t>
            </w:r>
          </w:p>
        </w:tc>
      </w:tr>
      <w:tr w:rsidR="00A012C7" w14:paraId="5BBFADB6" w14:textId="77777777">
        <w:tblPrEx>
          <w:tblCellMar>
            <w:top w:w="0" w:type="dxa"/>
            <w:bottom w:w="0" w:type="dxa"/>
          </w:tblCellMar>
        </w:tblPrEx>
        <w:tc>
          <w:tcPr>
            <w:tcW w:w="3000" w:type="dxa"/>
            <w:tcMar>
              <w:top w:w="60" w:type="dxa"/>
              <w:left w:w="100" w:type="dxa"/>
              <w:bottom w:w="60" w:type="dxa"/>
              <w:right w:w="100" w:type="dxa"/>
            </w:tcMar>
          </w:tcPr>
          <w:p w14:paraId="2ECD5CF6" w14:textId="77777777" w:rsidR="00A012C7" w:rsidRDefault="00000000" w:rsidP="00D72F77">
            <w:pPr>
              <w:jc w:val="both"/>
            </w:pPr>
            <w:r>
              <w:t>Mask / causal attention</w:t>
            </w:r>
          </w:p>
        </w:tc>
        <w:tc>
          <w:tcPr>
            <w:tcW w:w="6000" w:type="dxa"/>
            <w:tcMar>
              <w:top w:w="60" w:type="dxa"/>
              <w:left w:w="100" w:type="dxa"/>
              <w:bottom w:w="60" w:type="dxa"/>
              <w:right w:w="100" w:type="dxa"/>
            </w:tcMar>
          </w:tcPr>
          <w:p w14:paraId="177417BF" w14:textId="77777777" w:rsidR="00A012C7" w:rsidRDefault="00000000" w:rsidP="00D72F77">
            <w:pPr>
              <w:jc w:val="both"/>
            </w:pPr>
            <w:r>
              <w:t>Two names for the same mechanism: a lower-triangular matrix that prevents a decoder token from attending to future positions.</w:t>
            </w:r>
          </w:p>
        </w:tc>
      </w:tr>
      <w:tr w:rsidR="00A012C7" w14:paraId="034EA884" w14:textId="77777777">
        <w:tblPrEx>
          <w:tblCellMar>
            <w:top w:w="0" w:type="dxa"/>
            <w:bottom w:w="0" w:type="dxa"/>
          </w:tblCellMar>
        </w:tblPrEx>
        <w:tc>
          <w:tcPr>
            <w:tcW w:w="3000" w:type="dxa"/>
            <w:tcMar>
              <w:top w:w="60" w:type="dxa"/>
              <w:left w:w="100" w:type="dxa"/>
              <w:bottom w:w="60" w:type="dxa"/>
              <w:right w:w="100" w:type="dxa"/>
            </w:tcMar>
          </w:tcPr>
          <w:p w14:paraId="63780937" w14:textId="77777777" w:rsidR="00A012C7" w:rsidRDefault="00000000" w:rsidP="00D72F77">
            <w:pPr>
              <w:jc w:val="both"/>
            </w:pPr>
            <w:r>
              <w:t>torch.tril</w:t>
            </w:r>
          </w:p>
        </w:tc>
        <w:tc>
          <w:tcPr>
            <w:tcW w:w="6000" w:type="dxa"/>
            <w:tcMar>
              <w:top w:w="60" w:type="dxa"/>
              <w:left w:w="100" w:type="dxa"/>
              <w:bottom w:w="60" w:type="dxa"/>
              <w:right w:w="100" w:type="dxa"/>
            </w:tcMar>
          </w:tcPr>
          <w:p w14:paraId="0F06649E" w14:textId="77777777" w:rsidR="00A012C7" w:rsidRDefault="00000000" w:rsidP="00D72F77">
            <w:pPr>
              <w:jc w:val="both"/>
            </w:pPr>
            <w:r>
              <w:t>Keeps the lower-triangular half of a matrix (including the diagonal), zeroing out everything above it.</w:t>
            </w:r>
          </w:p>
        </w:tc>
      </w:tr>
      <w:tr w:rsidR="00A012C7" w14:paraId="58762998" w14:textId="77777777">
        <w:tblPrEx>
          <w:tblCellMar>
            <w:top w:w="0" w:type="dxa"/>
            <w:bottom w:w="0" w:type="dxa"/>
          </w:tblCellMar>
        </w:tblPrEx>
        <w:tc>
          <w:tcPr>
            <w:tcW w:w="3000" w:type="dxa"/>
            <w:tcMar>
              <w:top w:w="60" w:type="dxa"/>
              <w:left w:w="100" w:type="dxa"/>
              <w:bottom w:w="60" w:type="dxa"/>
              <w:right w:w="100" w:type="dxa"/>
            </w:tcMar>
          </w:tcPr>
          <w:p w14:paraId="7BA37C62" w14:textId="77777777" w:rsidR="00A012C7" w:rsidRDefault="00000000" w:rsidP="00D72F77">
            <w:pPr>
              <w:jc w:val="both"/>
            </w:pPr>
            <w:r>
              <w:t>Autoregressive</w:t>
            </w:r>
          </w:p>
        </w:tc>
        <w:tc>
          <w:tcPr>
            <w:tcW w:w="6000" w:type="dxa"/>
            <w:tcMar>
              <w:top w:w="60" w:type="dxa"/>
              <w:left w:w="100" w:type="dxa"/>
              <w:bottom w:w="60" w:type="dxa"/>
              <w:right w:w="100" w:type="dxa"/>
            </w:tcMar>
          </w:tcPr>
          <w:p w14:paraId="49E7B0CB" w14:textId="77777777" w:rsidR="00A012C7" w:rsidRDefault="00000000" w:rsidP="00D72F77">
            <w:pPr>
              <w:jc w:val="both"/>
            </w:pPr>
            <w:r>
              <w:t>Property of every decoder: generates exactly one token at a time, each conditioned only on itself and past tokens.</w:t>
            </w:r>
          </w:p>
        </w:tc>
      </w:tr>
      <w:tr w:rsidR="00A012C7" w14:paraId="0D495717" w14:textId="77777777">
        <w:tblPrEx>
          <w:tblCellMar>
            <w:top w:w="0" w:type="dxa"/>
            <w:bottom w:w="0" w:type="dxa"/>
          </w:tblCellMar>
        </w:tblPrEx>
        <w:tc>
          <w:tcPr>
            <w:tcW w:w="3000" w:type="dxa"/>
            <w:tcMar>
              <w:top w:w="60" w:type="dxa"/>
              <w:left w:w="100" w:type="dxa"/>
              <w:bottom w:w="60" w:type="dxa"/>
              <w:right w:w="100" w:type="dxa"/>
            </w:tcMar>
          </w:tcPr>
          <w:p w14:paraId="4826A1DB" w14:textId="77777777" w:rsidR="00A012C7" w:rsidRDefault="00000000" w:rsidP="00D72F77">
            <w:pPr>
              <w:jc w:val="both"/>
            </w:pPr>
            <w:r>
              <w:t>Positional encoding</w:t>
            </w:r>
          </w:p>
        </w:tc>
        <w:tc>
          <w:tcPr>
            <w:tcW w:w="6000" w:type="dxa"/>
            <w:tcMar>
              <w:top w:w="60" w:type="dxa"/>
              <w:left w:w="100" w:type="dxa"/>
              <w:bottom w:w="60" w:type="dxa"/>
              <w:right w:w="100" w:type="dxa"/>
            </w:tcMar>
          </w:tcPr>
          <w:p w14:paraId="0D1C2F25" w14:textId="77777777" w:rsidR="00A012C7" w:rsidRDefault="00000000" w:rsidP="00D72F77">
            <w:pPr>
              <w:jc w:val="both"/>
            </w:pPr>
            <w:r>
              <w:t>A fixed, deterministic sine/cosine-based vector added to each token embedding to reintroduce order information.</w:t>
            </w:r>
          </w:p>
        </w:tc>
      </w:tr>
      <w:tr w:rsidR="00A012C7" w14:paraId="4CDE0B2E" w14:textId="77777777">
        <w:tblPrEx>
          <w:tblCellMar>
            <w:top w:w="0" w:type="dxa"/>
            <w:bottom w:w="0" w:type="dxa"/>
          </w:tblCellMar>
        </w:tblPrEx>
        <w:tc>
          <w:tcPr>
            <w:tcW w:w="3000" w:type="dxa"/>
            <w:tcMar>
              <w:top w:w="60" w:type="dxa"/>
              <w:left w:w="100" w:type="dxa"/>
              <w:bottom w:w="60" w:type="dxa"/>
              <w:right w:w="100" w:type="dxa"/>
            </w:tcMar>
          </w:tcPr>
          <w:p w14:paraId="519ECD1E" w14:textId="77777777" w:rsidR="00A012C7" w:rsidRDefault="00000000" w:rsidP="00D72F77">
            <w:pPr>
              <w:jc w:val="both"/>
            </w:pPr>
            <w:r>
              <w:t>d_model</w:t>
            </w:r>
          </w:p>
        </w:tc>
        <w:tc>
          <w:tcPr>
            <w:tcW w:w="6000" w:type="dxa"/>
            <w:tcMar>
              <w:top w:w="60" w:type="dxa"/>
              <w:left w:w="100" w:type="dxa"/>
              <w:bottom w:w="60" w:type="dxa"/>
              <w:right w:w="100" w:type="dxa"/>
            </w:tcMar>
          </w:tcPr>
          <w:p w14:paraId="542FE7D7" w14:textId="77777777" w:rsidR="00A012C7" w:rsidRDefault="00000000" w:rsidP="00D72F77">
            <w:pPr>
              <w:jc w:val="both"/>
            </w:pPr>
            <w:r>
              <w:t>The full embedding dimension; positional encoding dimensions are paired (sine/cosine) across it, so it must be even.</w:t>
            </w:r>
          </w:p>
        </w:tc>
      </w:tr>
      <w:tr w:rsidR="00A012C7" w14:paraId="0A39C2EE" w14:textId="77777777">
        <w:tblPrEx>
          <w:tblCellMar>
            <w:top w:w="0" w:type="dxa"/>
            <w:bottom w:w="0" w:type="dxa"/>
          </w:tblCellMar>
        </w:tblPrEx>
        <w:tc>
          <w:tcPr>
            <w:tcW w:w="3000" w:type="dxa"/>
            <w:tcMar>
              <w:top w:w="60" w:type="dxa"/>
              <w:left w:w="100" w:type="dxa"/>
              <w:bottom w:w="60" w:type="dxa"/>
              <w:right w:w="100" w:type="dxa"/>
            </w:tcMar>
          </w:tcPr>
          <w:p w14:paraId="7D5FC903" w14:textId="77777777" w:rsidR="00A012C7" w:rsidRDefault="00000000" w:rsidP="00D72F77">
            <w:pPr>
              <w:jc w:val="both"/>
            </w:pPr>
            <w:r>
              <w:t>Cross-attention</w:t>
            </w:r>
          </w:p>
        </w:tc>
        <w:tc>
          <w:tcPr>
            <w:tcW w:w="6000" w:type="dxa"/>
            <w:tcMar>
              <w:top w:w="60" w:type="dxa"/>
              <w:left w:w="100" w:type="dxa"/>
              <w:bottom w:w="60" w:type="dxa"/>
              <w:right w:w="100" w:type="dxa"/>
            </w:tcMar>
          </w:tcPr>
          <w:p w14:paraId="5EAF681B" w14:textId="77777777" w:rsidR="00A012C7" w:rsidRDefault="00000000" w:rsidP="00D72F77">
            <w:pPr>
              <w:jc w:val="both"/>
            </w:pPr>
            <w:r>
              <w:t>Also called encoder-decoder attention or inter-sequence attention; fuses the encoder's K/V with the decoder's Q.</w:t>
            </w:r>
          </w:p>
        </w:tc>
      </w:tr>
      <w:tr w:rsidR="00A012C7" w14:paraId="2972496E" w14:textId="77777777">
        <w:tblPrEx>
          <w:tblCellMar>
            <w:top w:w="0" w:type="dxa"/>
            <w:bottom w:w="0" w:type="dxa"/>
          </w:tblCellMar>
        </w:tblPrEx>
        <w:tc>
          <w:tcPr>
            <w:tcW w:w="3000" w:type="dxa"/>
            <w:tcMar>
              <w:top w:w="60" w:type="dxa"/>
              <w:left w:w="100" w:type="dxa"/>
              <w:bottom w:w="60" w:type="dxa"/>
              <w:right w:w="100" w:type="dxa"/>
            </w:tcMar>
          </w:tcPr>
          <w:p w14:paraId="64F7E63F" w14:textId="77777777" w:rsidR="00A012C7" w:rsidRDefault="00000000" w:rsidP="00D72F77">
            <w:pPr>
              <w:jc w:val="both"/>
            </w:pPr>
            <w:r>
              <w:t>Bidirectional vs. unidirectional</w:t>
            </w:r>
          </w:p>
        </w:tc>
        <w:tc>
          <w:tcPr>
            <w:tcW w:w="6000" w:type="dxa"/>
            <w:tcMar>
              <w:top w:w="60" w:type="dxa"/>
              <w:left w:w="100" w:type="dxa"/>
              <w:bottom w:w="60" w:type="dxa"/>
              <w:right w:w="100" w:type="dxa"/>
            </w:tcMar>
          </w:tcPr>
          <w:p w14:paraId="1548EB29" w14:textId="77777777" w:rsidR="00A012C7" w:rsidRDefault="00000000" w:rsidP="00D72F77">
            <w:pPr>
              <w:jc w:val="both"/>
            </w:pPr>
            <w:r>
              <w:t>Encoders can look both directions (no mask); decoders can only look backward (masked).</w:t>
            </w:r>
          </w:p>
        </w:tc>
      </w:tr>
      <w:tr w:rsidR="00A012C7" w14:paraId="12CF0953" w14:textId="77777777">
        <w:tblPrEx>
          <w:tblCellMar>
            <w:top w:w="0" w:type="dxa"/>
            <w:bottom w:w="0" w:type="dxa"/>
          </w:tblCellMar>
        </w:tblPrEx>
        <w:tc>
          <w:tcPr>
            <w:tcW w:w="3000" w:type="dxa"/>
            <w:tcMar>
              <w:top w:w="60" w:type="dxa"/>
              <w:left w:w="100" w:type="dxa"/>
              <w:bottom w:w="60" w:type="dxa"/>
              <w:right w:w="100" w:type="dxa"/>
            </w:tcMar>
          </w:tcPr>
          <w:p w14:paraId="2077CA05" w14:textId="77777777" w:rsidR="00A012C7" w:rsidRDefault="00000000" w:rsidP="00D72F77">
            <w:pPr>
              <w:jc w:val="both"/>
            </w:pPr>
            <w:r>
              <w:t>Pre-norm vs. post-norm</w:t>
            </w:r>
          </w:p>
        </w:tc>
        <w:tc>
          <w:tcPr>
            <w:tcW w:w="6000" w:type="dxa"/>
            <w:tcMar>
              <w:top w:w="60" w:type="dxa"/>
              <w:left w:w="100" w:type="dxa"/>
              <w:bottom w:w="60" w:type="dxa"/>
              <w:right w:w="100" w:type="dxa"/>
            </w:tcMar>
          </w:tcPr>
          <w:p w14:paraId="2E8DD91D" w14:textId="77777777" w:rsidR="00A012C7" w:rsidRDefault="00000000" w:rsidP="00D72F77">
            <w:pPr>
              <w:jc w:val="both"/>
            </w:pPr>
            <w:r>
              <w:t>Whether layer normalization is applied before or after multi-head attention — an architectural variant, not a different mechanism.</w:t>
            </w:r>
          </w:p>
        </w:tc>
      </w:tr>
    </w:tbl>
    <w:p w14:paraId="2BA57C30" w14:textId="77777777" w:rsidR="00A012C7" w:rsidRDefault="00000000" w:rsidP="00D72F77">
      <w:pPr>
        <w:pStyle w:val="Heading1"/>
        <w:jc w:val="both"/>
      </w:pPr>
      <w:r>
        <w:t>Common Points of Confusion: Class Q&amp;A</w:t>
      </w:r>
    </w:p>
    <w:p w14:paraId="0699F869" w14:textId="77777777" w:rsidR="00A012C7" w:rsidRDefault="00000000" w:rsidP="00D72F77">
      <w:pPr>
        <w:spacing w:after="200" w:line="300" w:lineRule="auto"/>
        <w:jc w:val="both"/>
      </w:pPr>
      <w:r>
        <w:t>These are the questions from class discussion that surfaced genuine points of confusion — the kind worth knowing cold, since if a classmate got tripped up here, an interviewer might expect you to untangle the same thing on the spot.</w:t>
      </w:r>
    </w:p>
    <w:p w14:paraId="5BDB85BF" w14:textId="77777777" w:rsidR="00A012C7" w:rsidRDefault="00000000" w:rsidP="00D72F77">
      <w:pPr>
        <w:spacing w:before="200" w:after="80"/>
        <w:jc w:val="both"/>
      </w:pPr>
      <w:r>
        <w:rPr>
          <w:b/>
          <w:bCs/>
          <w:color w:val="8B2E2E"/>
        </w:rPr>
        <w:t>Q: If an 8×8 weight matrix gets split into 2 heads of 8×4 each, does one head always end up focused on one specific feature (say, water) and the other head on a different feature (say, height)?</w:t>
      </w:r>
    </w:p>
    <w:p w14:paraId="0FA6D3AC" w14:textId="77777777" w:rsidR="00A012C7" w:rsidRDefault="00000000" w:rsidP="00D72F77">
      <w:pPr>
        <w:spacing w:after="120" w:line="300" w:lineRule="auto"/>
        <w:jc w:val="both"/>
      </w:pPr>
      <w:r>
        <w:t>A: Not by design — nobody assigns a head a specific feature to focus on, and there's no way to know in advance which relationships a given head will end up capturing. The actual reasoning is closer to a safety net: passing the full dimension through a single head risks missing some relationships entirely, so splitting across multiple heads (the same factorization idea from the previous session) increases the odds that if one head misses something, another head picks it up. Heads can end up specializing in practice, purely as a byproduct of independent weight initialization and training — but that specialization is discovered through training, never assigned up front.</w:t>
      </w:r>
    </w:p>
    <w:p w14:paraId="0E131473" w14:textId="77777777" w:rsidR="00A012C7" w:rsidRDefault="00000000" w:rsidP="00D72F77">
      <w:pPr>
        <w:spacing w:before="200" w:after="80"/>
        <w:jc w:val="both"/>
      </w:pPr>
      <w:r>
        <w:rPr>
          <w:b/>
          <w:bCs/>
          <w:color w:val="8B2E2E"/>
        </w:rPr>
        <w:t>Q: If the encoder's Key and Value vectors are only "aware" of English, how are they useful to a decoder that's generating German?</w:t>
      </w:r>
    </w:p>
    <w:p w14:paraId="0D0444A4" w14:textId="77777777" w:rsidR="00A012C7" w:rsidRDefault="00000000" w:rsidP="00D72F77">
      <w:pPr>
        <w:spacing w:after="120" w:line="300" w:lineRule="auto"/>
        <w:jc w:val="both"/>
      </w:pPr>
      <w:r>
        <w:t>A: They become useful specifically because of joint training — the encoder and decoder aren't trained separately and then connected; they're trained together, end to end, on matched input/output pairs (an English sentence paired with its correct German translation). Because both sets of weights update together against the same loss, the system learns which parts of the English representation are relevant to which parts of the German output purely through repeated exposure to correctly paired examples. There's no separate alignment step happening outside of training — supervised training on paired sequences is the entire mechanism that makes the fusion useful.</w:t>
      </w:r>
    </w:p>
    <w:p w14:paraId="77C9F847" w14:textId="77777777" w:rsidR="00A012C7" w:rsidRDefault="00000000" w:rsidP="00D72F77">
      <w:pPr>
        <w:spacing w:before="200" w:after="80"/>
        <w:jc w:val="both"/>
      </w:pPr>
      <w:r>
        <w:rPr>
          <w:b/>
          <w:bCs/>
          <w:color w:val="8B2E2E"/>
        </w:rPr>
        <w:t>Q: What would actually go wrong if a decoder-only model skipped positional encoding entirely and just used raw token embeddings?</w:t>
      </w:r>
    </w:p>
    <w:p w14:paraId="1A46BE8C" w14:textId="77777777" w:rsidR="00A012C7" w:rsidRDefault="00000000" w:rsidP="00D72F77">
      <w:pPr>
        <w:spacing w:after="120" w:line="300" w:lineRule="auto"/>
        <w:jc w:val="both"/>
      </w:pPr>
      <w:r>
        <w:t>A: The model would lose any sense of order, because self-attention itself has zero built-in position-sensitivity — every token can already reach every other token regardless of where it sits. In practice this means output could remain contextually plausible while being grammatically broken, since a language's structural integrity depends on position, not just word choice. There's no known working architecture that skips positional information entirely — every real model either uses a fixed encoding like today's sine/cosine scheme, or a learned alternative (a small trainable component whose only job is to learn position), or a newer scheme like RoPE or ALiBi. Some form of positional information is a hard requirement, not an optional add-on.</w:t>
      </w:r>
    </w:p>
    <w:p w14:paraId="2708B2FD" w14:textId="77777777" w:rsidR="00A012C7" w:rsidRDefault="00000000" w:rsidP="00D72F77">
      <w:pPr>
        <w:spacing w:before="200" w:after="80"/>
        <w:jc w:val="both"/>
      </w:pPr>
      <w:r>
        <w:rPr>
          <w:b/>
          <w:bCs/>
          <w:color w:val="8B2E2E"/>
        </w:rPr>
        <w:t>Q: When a decoder predicts the next word, is it actually searching through the entire 50,000-word vocabulary at that step?</w:t>
      </w:r>
    </w:p>
    <w:p w14:paraId="13C75B3F" w14:textId="77777777" w:rsidR="00A012C7" w:rsidRDefault="00000000" w:rsidP="00D72F77">
      <w:pPr>
        <w:spacing w:after="120" w:line="300" w:lineRule="auto"/>
        <w:jc w:val="both"/>
      </w:pPr>
      <w:r>
        <w:t>A: Not in the sense of a search — the final linear-plus-softmax layer scores the entire vocabulary in one shot, producing a full probability distribution across every vocabulary word simultaneously, rather than checking words one at a time. Top-k or top-p sampling (Section 2) then narrows that already-complete distribution down to a smaller set of the most likely candidates. So the vocabulary size determines how large that final scoring layer is, but the model isn't iterating through vocabulary entries — it's a single matrix multiplication that scores all of them at once.</w:t>
      </w:r>
    </w:p>
    <w:p w14:paraId="6204305D" w14:textId="77777777" w:rsidR="00A012C7" w:rsidRDefault="00000000" w:rsidP="00D72F77">
      <w:pPr>
        <w:spacing w:before="200" w:after="80"/>
        <w:jc w:val="both"/>
      </w:pPr>
      <w:r>
        <w:rPr>
          <w:b/>
          <w:bCs/>
          <w:color w:val="8B2E2E"/>
        </w:rPr>
        <w:t>Q: During training, are Key and Value recomputed at every single step the same way they are during inference — before any KV-cache-style optimization applies?</w:t>
      </w:r>
    </w:p>
    <w:p w14:paraId="55C04DA1" w14:textId="77777777" w:rsidR="00A012C7" w:rsidRDefault="00000000" w:rsidP="00D72F77">
      <w:pPr>
        <w:spacing w:after="120" w:line="300" w:lineRule="auto"/>
        <w:jc w:val="both"/>
      </w:pPr>
      <w:r>
        <w:t>A: Yes — during training, K and V get freshly recalculated every time, because the weight matrices producing them are still being updated as training progresses; freezing or caching them would prevent the loss from reflecting a genuinely updated set of weights, which would break training entirely. Caching K and V (to avoid recomputing them) is strictly an inference-time optimization, used only once training is finished and the weights are fixed — at that point there's nothing left to update, so reusing previously computed K and V for tokens that haven't changed is a safe and significant speedup. During training, that shortcut isn't available or appropriate.</w:t>
      </w:r>
    </w:p>
    <w:sectPr w:rsidR="00A012C7">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A4538"/>
    <w:multiLevelType w:val="hybridMultilevel"/>
    <w:tmpl w:val="6FBC0F0C"/>
    <w:lvl w:ilvl="0" w:tplc="952E73AA">
      <w:start w:val="1"/>
      <w:numFmt w:val="bullet"/>
      <w:lvlText w:val="●"/>
      <w:lvlJc w:val="left"/>
      <w:pPr>
        <w:ind w:left="720" w:hanging="360"/>
      </w:pPr>
    </w:lvl>
    <w:lvl w:ilvl="1" w:tplc="A23C50C2">
      <w:start w:val="1"/>
      <w:numFmt w:val="bullet"/>
      <w:lvlText w:val="○"/>
      <w:lvlJc w:val="left"/>
      <w:pPr>
        <w:ind w:left="1440" w:hanging="360"/>
      </w:pPr>
    </w:lvl>
    <w:lvl w:ilvl="2" w:tplc="9C4C9DAA">
      <w:start w:val="1"/>
      <w:numFmt w:val="bullet"/>
      <w:lvlText w:val="■"/>
      <w:lvlJc w:val="left"/>
      <w:pPr>
        <w:ind w:left="2160" w:hanging="360"/>
      </w:pPr>
    </w:lvl>
    <w:lvl w:ilvl="3" w:tplc="02444D64">
      <w:start w:val="1"/>
      <w:numFmt w:val="bullet"/>
      <w:lvlText w:val="●"/>
      <w:lvlJc w:val="left"/>
      <w:pPr>
        <w:ind w:left="2880" w:hanging="360"/>
      </w:pPr>
    </w:lvl>
    <w:lvl w:ilvl="4" w:tplc="84400CE0">
      <w:start w:val="1"/>
      <w:numFmt w:val="bullet"/>
      <w:lvlText w:val="○"/>
      <w:lvlJc w:val="left"/>
      <w:pPr>
        <w:ind w:left="3600" w:hanging="360"/>
      </w:pPr>
    </w:lvl>
    <w:lvl w:ilvl="5" w:tplc="66122516">
      <w:start w:val="1"/>
      <w:numFmt w:val="bullet"/>
      <w:lvlText w:val="■"/>
      <w:lvlJc w:val="left"/>
      <w:pPr>
        <w:ind w:left="4320" w:hanging="360"/>
      </w:pPr>
    </w:lvl>
    <w:lvl w:ilvl="6" w:tplc="0ACC8042">
      <w:start w:val="1"/>
      <w:numFmt w:val="bullet"/>
      <w:lvlText w:val="●"/>
      <w:lvlJc w:val="left"/>
      <w:pPr>
        <w:ind w:left="5040" w:hanging="360"/>
      </w:pPr>
    </w:lvl>
    <w:lvl w:ilvl="7" w:tplc="FF7E3386">
      <w:start w:val="1"/>
      <w:numFmt w:val="bullet"/>
      <w:lvlText w:val="●"/>
      <w:lvlJc w:val="left"/>
      <w:pPr>
        <w:ind w:left="5760" w:hanging="360"/>
      </w:pPr>
    </w:lvl>
    <w:lvl w:ilvl="8" w:tplc="EED27DB2">
      <w:start w:val="1"/>
      <w:numFmt w:val="bullet"/>
      <w:lvlText w:val="●"/>
      <w:lvlJc w:val="left"/>
      <w:pPr>
        <w:ind w:left="6480" w:hanging="360"/>
      </w:pPr>
    </w:lvl>
  </w:abstractNum>
  <w:num w:numId="1" w16cid:durableId="802963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2C7"/>
    <w:rsid w:val="002D2F5B"/>
    <w:rsid w:val="00A012C7"/>
    <w:rsid w:val="00D72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359D8"/>
  <w15:docId w15:val="{A6E1B700-3A19-490C-98CC-3162ABA1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BBAE"/>
      </w:pBdr>
      <w:spacing w:before="320" w:after="160"/>
      <w:outlineLvl w:val="0"/>
    </w:pPr>
    <w:rPr>
      <w:b/>
      <w:bCs/>
      <w:color w:val="8B2E2E"/>
      <w:sz w:val="30"/>
      <w:szCs w:val="30"/>
    </w:rPr>
  </w:style>
  <w:style w:type="paragraph" w:styleId="Heading2">
    <w:name w:val="heading 2"/>
    <w:uiPriority w:val="9"/>
    <w:semiHidden/>
    <w:unhideWhenUsed/>
    <w:qFormat/>
    <w:pPr>
      <w:spacing w:before="240" w:after="120"/>
      <w:outlineLvl w:val="1"/>
    </w:pPr>
    <w:rPr>
      <w:b/>
      <w:bCs/>
      <w:color w:val="5A5A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3431</Words>
  <Characters>19562</Characters>
  <Application>Microsoft Office Word</Application>
  <DocSecurity>0</DocSecurity>
  <Lines>163</Lines>
  <Paragraphs>45</Paragraphs>
  <ScaleCrop>false</ScaleCrop>
  <Company/>
  <LinksUpToDate>false</LinksUpToDate>
  <CharactersWithSpaces>22948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Anjum</cp:lastModifiedBy>
  <cp:revision>2</cp:revision>
  <dcterms:created xsi:type="dcterms:W3CDTF">2026-08-15T02:06:00Z</dcterms:created>
  <dcterms:modified xsi:type="dcterms:W3CDTF">2026-08-16T00:30:00Z</dcterms:modified>
</cp:coreProperties>
</file>