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91A4C" w14:textId="77777777" w:rsidR="000C1641" w:rsidRDefault="00000000" w:rsidP="007E7E83">
      <w:pPr>
        <w:spacing w:after="60"/>
        <w:jc w:val="both"/>
      </w:pPr>
      <w:r>
        <w:rPr>
          <w:b/>
          <w:bCs/>
          <w:color w:val="8B2E2E"/>
          <w:sz w:val="48"/>
          <w:szCs w:val="48"/>
        </w:rPr>
        <w:t>Transformers 101</w:t>
      </w:r>
    </w:p>
    <w:p w14:paraId="6C22BF7B" w14:textId="77777777" w:rsidR="000C1641" w:rsidRDefault="00000000" w:rsidP="007E7E83">
      <w:pPr>
        <w:spacing w:after="60"/>
        <w:jc w:val="both"/>
      </w:pPr>
      <w:r>
        <w:rPr>
          <w:i/>
          <w:iCs/>
          <w:color w:val="555555"/>
          <w:sz w:val="26"/>
          <w:szCs w:val="26"/>
        </w:rPr>
        <w:t>Self-study notes — 16 August 2026 (Practical)</w:t>
      </w:r>
    </w:p>
    <w:p w14:paraId="0C18C4C7" w14:textId="77777777" w:rsidR="000C1641" w:rsidRDefault="00000000" w:rsidP="007E7E83">
      <w:pPr>
        <w:spacing w:after="400"/>
        <w:jc w:val="both"/>
      </w:pPr>
      <w:r>
        <w:rPr>
          <w:color w:val="555555"/>
        </w:rPr>
        <w:t>Designing the full encoder-decoder architecture in PyTorch, from the Annotated Transformer notebook.</w:t>
      </w:r>
    </w:p>
    <w:p w14:paraId="2D41B9C5" w14:textId="77777777" w:rsidR="000C1641" w:rsidRDefault="00000000" w:rsidP="007E7E83">
      <w:pPr>
        <w:pStyle w:val="Heading1"/>
        <w:jc w:val="both"/>
      </w:pPr>
      <w:r>
        <w:t>1. Cross-Attention Recap: What Happens to the Decoder's Own K and V</w:t>
      </w:r>
    </w:p>
    <w:p w14:paraId="4D808C3D" w14:textId="77777777" w:rsidR="000C1641" w:rsidRDefault="00000000" w:rsidP="007E7E83">
      <w:pPr>
        <w:spacing w:after="200" w:line="300" w:lineRule="auto"/>
        <w:jc w:val="both"/>
      </w:pPr>
      <w:r>
        <w:t>Quick refresher before the practical build starts: cross-attention uses the exact same scaled dot-product formula as ordinary self-attention — Attention(Q, K, V) = softmax(Q·Kᵀ/√d_k)·V — with exactly one substitution. The Query comes from the decoder (Q_dec), while the Key and Value still come from the encoder's final output. Nothing else about the formula changes.</w:t>
      </w:r>
    </w:p>
    <w:p w14:paraId="5790D98C" w14:textId="77777777" w:rsidR="000C1641" w:rsidRDefault="00000000" w:rsidP="007E7E83">
      <w:pPr>
        <w:pBdr>
          <w:left w:val="single" w:sz="24" w:space="8" w:color="8B2E2E"/>
        </w:pBdr>
        <w:shd w:val="clear" w:color="auto" w:fill="FBEEE6"/>
        <w:spacing w:before="160" w:after="60"/>
        <w:ind w:left="100"/>
        <w:jc w:val="both"/>
      </w:pPr>
      <w:r>
        <w:rPr>
          <w:b/>
          <w:bCs/>
          <w:color w:val="8B2E2E"/>
        </w:rPr>
        <w:t>⭑ Important — the decoder's own K and V get discarded after one use</w:t>
      </w:r>
    </w:p>
    <w:p w14:paraId="6AF6C472" w14:textId="77777777" w:rsidR="000C1641" w:rsidRDefault="00000000" w:rsidP="007E7E83">
      <w:pPr>
        <w:pBdr>
          <w:left w:val="single" w:sz="24" w:space="8" w:color="8B2E2E"/>
        </w:pBdr>
        <w:shd w:val="clear" w:color="auto" w:fill="FBEEE6"/>
        <w:spacing w:after="60"/>
        <w:ind w:left="100"/>
        <w:jc w:val="both"/>
      </w:pPr>
      <w:r>
        <w:t>This is worth being precise about, since it's an easy point to misremember. Inside the decoder, the masked self-attention step does use its own K, Q, and V, all computed from the decoder's own sequence — that's exactly how it builds context among the tokens generated so far. But once that masked self-attention step finishes, its K and V are done being useful and get discarded. They are never reused later in the decoder, and they never participate in cross-attention.</w:t>
      </w:r>
    </w:p>
    <w:p w14:paraId="17DB3B88" w14:textId="77777777" w:rsidR="000C1641" w:rsidRDefault="00000000" w:rsidP="007E7E83">
      <w:pPr>
        <w:pBdr>
          <w:left w:val="single" w:sz="24" w:space="8" w:color="8B2E2E"/>
        </w:pBdr>
        <w:shd w:val="clear" w:color="auto" w:fill="FBEEE6"/>
        <w:spacing w:after="220"/>
        <w:ind w:left="100"/>
        <w:jc w:val="both"/>
      </w:pPr>
      <w:r>
        <w:t>Cross-attention only ever uses the encoder's K and V, paired with a fresh Query computed from the output of the decoder's masked self-attention step. So a decoder's K and V exist for exactly one job — helping the decoder build better context about its own sequence so far — and the encoder's K and V exist for a completely separate job — letting the decoder look at the source sequence. The two never mix.</w:t>
      </w:r>
    </w:p>
    <w:p w14:paraId="50879C75" w14:textId="77777777" w:rsidR="000C1641" w:rsidRDefault="00000000" w:rsidP="007E7E83">
      <w:pPr>
        <w:spacing w:after="200" w:line="300" w:lineRule="auto"/>
        <w:jc w:val="both"/>
      </w:pPr>
      <w:r>
        <w:t>One architectural clarification that came up: not every decoder implementation necessarily draws "masked multi-head attention" and "multi-head attention" as two visually separate blocks the way the original paper's diagram does — that's one common layout, not a universal law. What is universal is the underlying property: any decoder, regardless of how its blocks are drawn, must have some form of masked (causal) attention somewhere, because that's what gives it the autoregressive property. Standalone decoder-only architectures (like GPT) never have cross-attention at all, precisely because there's no encoder to connect to — only encoder-decoder architectures need it.</w:t>
      </w:r>
    </w:p>
    <w:p w14:paraId="7D8A1C5A" w14:textId="77777777" w:rsidR="000C1641" w:rsidRDefault="00000000" w:rsidP="007E7E83">
      <w:pPr>
        <w:pStyle w:val="Heading1"/>
        <w:jc w:val="both"/>
      </w:pPr>
      <w:r>
        <w:t>2. The Practical Reality: Padding and Masks</w:t>
      </w:r>
    </w:p>
    <w:p w14:paraId="366E9F75" w14:textId="77777777" w:rsidR="000C1641" w:rsidRDefault="00000000" w:rsidP="007E7E83">
      <w:pPr>
        <w:spacing w:after="200" w:line="300" w:lineRule="auto"/>
        <w:jc w:val="both"/>
      </w:pPr>
      <w:r>
        <w:t>This is a piece of the picture that pure theory skips entirely, but that any real implementation has to handle: every model has a fixed max sequence length — the maximum number of tokens it will accept in one shot (commonly 128 or 256, a hyperparameter you choose). Real sentences are almost never exactly that length, so shorter sequences get padded up to it with padding tokens. A padding token carries no linguistic meaning at all — it's a placeholder purely for shape consistency, not a real vocabulary word — so it makes no sense to generate a meaningful embedding for it or let it participate in attention as if it were real content.</w:t>
      </w:r>
    </w:p>
    <w:p w14:paraId="4CE82199" w14:textId="77777777" w:rsidR="000C1641" w:rsidRDefault="00000000" w:rsidP="007E7E83">
      <w:pPr>
        <w:pBdr>
          <w:left w:val="single" w:sz="24" w:space="8" w:color="8B2E2E"/>
        </w:pBdr>
        <w:shd w:val="clear" w:color="auto" w:fill="FBEEE6"/>
        <w:spacing w:before="160" w:after="60"/>
        <w:ind w:left="100"/>
        <w:jc w:val="both"/>
      </w:pPr>
      <w:r>
        <w:rPr>
          <w:b/>
          <w:bCs/>
          <w:color w:val="8B2E2E"/>
        </w:rPr>
        <w:t>⭑ Important — source mask vs. target mask</w:t>
      </w:r>
    </w:p>
    <w:p w14:paraId="005DB91C" w14:textId="77777777" w:rsidR="000C1641" w:rsidRDefault="00000000" w:rsidP="007E7E83">
      <w:pPr>
        <w:pBdr>
          <w:left w:val="single" w:sz="24" w:space="8" w:color="8B2E2E"/>
        </w:pBdr>
        <w:shd w:val="clear" w:color="auto" w:fill="FBEEE6"/>
        <w:spacing w:after="60"/>
        <w:ind w:left="100"/>
        <w:jc w:val="both"/>
      </w:pPr>
      <w:r>
        <w:t xml:space="preserve">The source mask exists purely to make the encoder (and later, the decoder during cross-attention) ignore padding tokens in the source sequence. Practically, it's a simple binary pattern: 1 for every real token, 0 for every padding position. Without it, the encoder would waste computation attending to meaningless padding, </w:t>
      </w:r>
      <w:r>
        <w:lastRenderedPageBreak/>
        <w:t>and — just as importantly — that same source mask has to travel with the encoder's output all the way to the decoder, because during cross-attention the decoder needs to know not to attend to the encoder's padding positions either. Nothing else tells it that information.</w:t>
      </w:r>
    </w:p>
    <w:p w14:paraId="26932870" w14:textId="77777777" w:rsidR="000C1641" w:rsidRDefault="00000000" w:rsidP="007E7E83">
      <w:pPr>
        <w:pBdr>
          <w:left w:val="single" w:sz="24" w:space="8" w:color="8B2E2E"/>
        </w:pBdr>
        <w:shd w:val="clear" w:color="auto" w:fill="FBEEE6"/>
        <w:spacing w:after="220"/>
        <w:ind w:left="100"/>
        <w:jc w:val="both"/>
      </w:pPr>
      <w:r>
        <w:t>The target mask does two jobs at once, which is what makes it different from the source mask: it neglects padding tokens in the decoder's own sequence (the same idea as the source mask, just applied to the target side), and on top of that, it enforces the ordinary causal/autoregressive masking from previous sessions — making sure a position can only attend to itself and earlier positions. Source mask = one job (ignore padding). Target mask = two jobs (ignore padding, plus enforce causality).</w:t>
      </w:r>
    </w:p>
    <w:p w14:paraId="76830C2E" w14:textId="77777777" w:rsidR="000C1641" w:rsidRDefault="00000000" w:rsidP="007E7E83">
      <w:pPr>
        <w:spacing w:after="200" w:line="300" w:lineRule="auto"/>
        <w:jc w:val="both"/>
      </w:pPr>
      <w:r>
        <w:t>None of this changes anything about the theoretical attention formula — it's purely an engineering necessity that shows up the moment your inputs stop being a single, perfectly-sized toy example. This is exactly why theoretical explanations of attention skip it, and exactly why a from-scratch implementation can't.</w:t>
      </w:r>
    </w:p>
    <w:p w14:paraId="1C77317B" w14:textId="77777777" w:rsidR="000C1641" w:rsidRDefault="00000000" w:rsidP="007E7E83">
      <w:pPr>
        <w:pStyle w:val="Heading1"/>
        <w:jc w:val="both"/>
      </w:pPr>
      <w:r>
        <w:t>3. The Top-Level Architecture: EncoderDecoder, Generator, and Deep Copy</w:t>
      </w:r>
    </w:p>
    <w:p w14:paraId="23B1FD66" w14:textId="77777777" w:rsidR="000C1641" w:rsidRDefault="00000000" w:rsidP="007E7E83">
      <w:pPr>
        <w:spacing w:after="200" w:line="300" w:lineRule="auto"/>
        <w:jc w:val="both"/>
      </w:pPr>
      <w:r>
        <w:t>The overall model is built as one top-level container class holding five pieces: the encoder, the decoder, the source embedding (for English), the target embedding (for German, in this machine-translation example), and a generator. The generator is simply the final linear layer plus softmax that turns the decoder's output vectors into an actual probability distribution over the vocabulary — everything before the generator is about building rich contextual representations; the generator is the one piece whose job is to turn that representation into predicted words.</w:t>
      </w:r>
    </w:p>
    <w:p w14:paraId="7E52F0FE" w14:textId="77777777" w:rsidR="000C1641" w:rsidRDefault="00000000" w:rsidP="007E7E83">
      <w:pPr>
        <w:spacing w:after="200" w:line="300" w:lineRule="auto"/>
        <w:jc w:val="both"/>
      </w:pPr>
      <w:r>
        <w:t>The forward pass is deliberately thin at this top level — it just wires the pieces together: encode the source with its mask, then decode using the target, the target's own mask, and the encoder's output (referred to in the code as "memory," since that's literally what it is — the encoder's K/V information being carried forward for the decoder to draw on). The final output of the entire Transformer is the decoder's output, which is exactly what you'd expect, since generation is the decoder's job.</w:t>
      </w:r>
    </w:p>
    <w:p w14:paraId="4EF4304A" w14:textId="77777777" w:rsidR="000C1641" w:rsidRDefault="00000000" w:rsidP="007E7E83">
      <w:pPr>
        <w:pBdr>
          <w:left w:val="single" w:sz="24" w:space="8" w:color="8B2E2E"/>
        </w:pBdr>
        <w:shd w:val="clear" w:color="auto" w:fill="FBEEE6"/>
        <w:spacing w:before="160" w:after="60"/>
        <w:ind w:left="100"/>
        <w:jc w:val="both"/>
      </w:pPr>
      <w:r>
        <w:rPr>
          <w:b/>
          <w:bCs/>
          <w:color w:val="8B2E2E"/>
        </w:rPr>
        <w:t>⭑ Important — why deep copy, not shallow copy, for stacking N identical layers</w:t>
      </w:r>
    </w:p>
    <w:p w14:paraId="08ED7601" w14:textId="77777777" w:rsidR="000C1641" w:rsidRDefault="00000000" w:rsidP="007E7E83">
      <w:pPr>
        <w:pBdr>
          <w:left w:val="single" w:sz="24" w:space="8" w:color="8B2E2E"/>
        </w:pBdr>
        <w:shd w:val="clear" w:color="auto" w:fill="FBEEE6"/>
        <w:spacing w:after="60"/>
        <w:ind w:left="100"/>
        <w:jc w:val="both"/>
      </w:pPr>
      <w:r>
        <w:t>Building N stacked encoder (or decoder) layers uses Python's deep copy, not a shallow copy, and the distinction matters enormously here. A shallow copy would give every one of the N layers a reference to the exact same underlying weight objects — so during backpropagation, updating one layer's weights would update all of them identically, since they're not actually separate objects at all. That defeats the entire purpose of stacking multiple layers, since they'd never be able to diverge and specialize.</w:t>
      </w:r>
    </w:p>
    <w:p w14:paraId="18D4C627" w14:textId="77777777" w:rsidR="000C1641" w:rsidRDefault="00000000" w:rsidP="007E7E83">
      <w:pPr>
        <w:pBdr>
          <w:left w:val="single" w:sz="24" w:space="8" w:color="8B2E2E"/>
        </w:pBdr>
        <w:shd w:val="clear" w:color="auto" w:fill="FBEEE6"/>
        <w:spacing w:after="220"/>
        <w:ind w:left="100"/>
        <w:jc w:val="both"/>
      </w:pPr>
      <w:r>
        <w:t>A deep copy creates N fully independent sets of parameters, all starting from the same initial values but free to update separately during training. This is what actually lets stacked layers learn different things from each other. It's a good instinct to test this yourself: swapping in a shallow copy still runs without erroring, but training quality degrades noticeably, precisely because the layers can never truly separate from each other.</w:t>
      </w:r>
    </w:p>
    <w:p w14:paraId="35C28C14" w14:textId="77777777" w:rsidR="000C1641" w:rsidRDefault="00000000" w:rsidP="007E7E83">
      <w:pPr>
        <w:pStyle w:val="Heading1"/>
        <w:jc w:val="both"/>
      </w:pPr>
      <w:r>
        <w:t>4. Layer Normalization, Residual Connections, and Assembling Each Layer</w:t>
      </w:r>
    </w:p>
    <w:p w14:paraId="0384A0CE" w14:textId="77777777" w:rsidR="000C1641" w:rsidRDefault="00000000" w:rsidP="007E7E83">
      <w:pPr>
        <w:spacing w:after="200" w:line="300" w:lineRule="auto"/>
        <w:jc w:val="both"/>
      </w:pPr>
      <w:r>
        <w:t xml:space="preserve">Rather than calling PyTorch's built-in layer norm directly, the notebook implements it manually from the underlying paper's formula — worth doing once so the operation stops being a black box. The formula calculates the mean and standard deviation of the input, then normalizes using those two values, with a small epsilon added in the denominator purely to prevent division by zero. Two learnable parameters are layered on </w:t>
      </w:r>
      <w:r>
        <w:lastRenderedPageBreak/>
        <w:t>top: a scale term (traditionally called gamma) and a shift term (traditionally called beta), initialized to 1 and 0 respectively so that, at the very start of training, the layer begins as close to a pure identity operation as possible — no artificial scaling or shifting until the network actually learns it needs some.</w:t>
      </w:r>
    </w:p>
    <w:p w14:paraId="1219A188" w14:textId="77777777" w:rsidR="000C1641" w:rsidRDefault="00000000" w:rsidP="007E7E83">
      <w:pPr>
        <w:spacing w:after="200" w:line="300" w:lineRule="auto"/>
        <w:jc w:val="both"/>
      </w:pPr>
      <w:r>
        <w:t>Batch normalization (2016, vision-oriented) and layer normalization (NLP-oriented) share this same mean/standard-deviation/epsilon/scale/shift structure — the paper's authors deliberately drew on that batch-norm formula and adapted it for sequence data, which is why understanding one makes the other far easier to read.</w:t>
      </w:r>
    </w:p>
    <w:p w14:paraId="7C5695B3" w14:textId="77777777" w:rsidR="000C1641" w:rsidRDefault="00000000" w:rsidP="007E7E83">
      <w:pPr>
        <w:spacing w:after="200" w:line="300" w:lineRule="auto"/>
        <w:jc w:val="both"/>
      </w:pPr>
      <w:r>
        <w:t>The residual ("sublayer connection") wrapper implements X + dropout(sublayer(X)) — apply the sublayer (multi-head attention or feed-forward), apply dropout to its output for regularization, then add the original input back. Whether you write this as X + sublayer(X) or sublayer(X) + X makes no mathematical difference whatsoever — addition doesn't care about order — so whether normalization happens before the sublayer (pre-norm) or after it (post-norm) is a genuine implementation choice, not something with a meaningfully "correct" answer. Both orderings appear across real architectures.</w:t>
      </w:r>
    </w:p>
    <w:p w14:paraId="20B9F62E" w14:textId="77777777" w:rsidR="000C1641" w:rsidRDefault="00000000" w:rsidP="007E7E83">
      <w:pPr>
        <w:spacing w:after="200" w:line="300" w:lineRule="auto"/>
        <w:jc w:val="both"/>
      </w:pPr>
      <w:r>
        <w:t>Each encoder layer needs exactly two of these sublayer connections (one wrapping self-attention, one wrapping the feed-forward block) — cloned via the same deep-copy mechanism from Section 3, since they need independent normalization parameters even within a single layer. A decoder layer needs three: one wrapping its own masked self-attention (the notebook calls this simply "self-attention"), one wrapping cross-attention (the notebook calls this "source attention," since it's the connection to the encoder's source-side output), and one wrapping the feed-forward block. Only the sublayer-connection wrappers get cloned this way — the multi-head attention and feed-forward modules themselves are each defined once per layer and simply referenced inside their respective wrapper, not duplicated. One more detail worth remembering: cross-attention never receives a causal mask — masking is exclusively the concern of the decoder's own self-attention step, one layer below it.</w:t>
      </w:r>
    </w:p>
    <w:p w14:paraId="192609D2" w14:textId="77777777" w:rsidR="000C1641" w:rsidRDefault="00000000" w:rsidP="007E7E83">
      <w:pPr>
        <w:pStyle w:val="Heading1"/>
        <w:jc w:val="both"/>
      </w:pPr>
      <w:r>
        <w:t>5. Multi-Head Attention in Code: view, transpose, and Broadcasting the Mask</w:t>
      </w:r>
    </w:p>
    <w:p w14:paraId="63537F39" w14:textId="77777777" w:rsidR="000C1641" w:rsidRDefault="00000000" w:rsidP="007E7E83">
      <w:pPr>
        <w:spacing w:after="200" w:line="300" w:lineRule="auto"/>
        <w:jc w:val="both"/>
      </w:pPr>
      <w:r>
        <w:t>This is the single densest piece of code in the whole build, and it's worth slowing down for, because it's almost entirely about tensor shape management rather than new conceptual ground — everything here is the same multi-head attention from prior sessions, just written out explicitly in PyTorch operations.</w:t>
      </w:r>
    </w:p>
    <w:p w14:paraId="1544A7EB" w14:textId="77777777" w:rsidR="000C1641" w:rsidRDefault="00000000" w:rsidP="007E7E83">
      <w:pPr>
        <w:pBdr>
          <w:left w:val="single" w:sz="24" w:space="8" w:color="8B2E2E"/>
        </w:pBdr>
        <w:shd w:val="clear" w:color="auto" w:fill="FBEEE6"/>
        <w:spacing w:before="160" w:after="60"/>
        <w:ind w:left="100"/>
        <w:jc w:val="both"/>
      </w:pPr>
      <w:r>
        <w:rPr>
          <w:b/>
          <w:bCs/>
          <w:color w:val="8B2E2E"/>
        </w:rPr>
        <w:t>⭑ Important — the linear → view → transpose sequence, and why</w:t>
      </w:r>
    </w:p>
    <w:p w14:paraId="05EA9FAB" w14:textId="77777777" w:rsidR="000C1641" w:rsidRDefault="00000000" w:rsidP="007E7E83">
      <w:pPr>
        <w:pBdr>
          <w:left w:val="single" w:sz="24" w:space="8" w:color="8B2E2E"/>
        </w:pBdr>
        <w:shd w:val="clear" w:color="auto" w:fill="FBEEE6"/>
        <w:spacing w:after="60"/>
        <w:ind w:left="100"/>
        <w:jc w:val="both"/>
      </w:pPr>
      <w:r>
        <w:t>Each of Q, K, and V first passes through its own linear projection, which preserves the full d_model dimension (512, in the paper's numbers) — nothing about head-splitting has happened yet at this point. The .view() operation then reshapes that flat 512-dimensional projection into (batch, sequence length, heads, d_k) — for example, 512 becomes 8 heads × 64 dimensions each. Immediately after, .transpose() swaps the sequence-length and heads dimensions, producing (batch, heads, sequence length, d_k) — this ordering is what lets every head's attention be computed independently and in parallel, since the heads dimension needs to sit where batch-style operations expect it.</w:t>
      </w:r>
    </w:p>
    <w:p w14:paraId="14FC0691" w14:textId="77777777" w:rsidR="000C1641" w:rsidRDefault="00000000" w:rsidP="007E7E83">
      <w:pPr>
        <w:pBdr>
          <w:left w:val="single" w:sz="24" w:space="8" w:color="8B2E2E"/>
        </w:pBdr>
        <w:shd w:val="clear" w:color="auto" w:fill="FBEEE6"/>
        <w:spacing w:after="220"/>
        <w:ind w:left="100"/>
        <w:jc w:val="both"/>
      </w:pPr>
      <w:r>
        <w:t xml:space="preserve">After attention runs per head, the heads need to be merged back together for the final output projection — done with .transpose() (swap sequence length and heads back), .contiguous() (a required housekeeping step: transpose only changes how PyTorch reads the tensor's memory layout, not the actual memory layout itself, </w:t>
      </w:r>
      <w:r>
        <w:lastRenderedPageBreak/>
        <w:t>and .view() requires memory to be laid out contiguously to safely reshape it), and finally .view() again to flatten heads back down into the original 512-dimensional shape. This three-step transpose–contiguous–view sequence is exactly what "merging heads" means in code.</w:t>
      </w:r>
    </w:p>
    <w:p w14:paraId="239498EF" w14:textId="77777777" w:rsidR="000C1641" w:rsidRDefault="00000000" w:rsidP="007E7E83">
      <w:pPr>
        <w:pBdr>
          <w:left w:val="single" w:sz="24" w:space="8" w:color="8B2E2E"/>
        </w:pBdr>
        <w:shd w:val="clear" w:color="auto" w:fill="FBEEE6"/>
        <w:spacing w:before="160" w:after="60"/>
        <w:ind w:left="100"/>
        <w:jc w:val="both"/>
      </w:pPr>
      <w:r>
        <w:rPr>
          <w:b/>
          <w:bCs/>
          <w:color w:val="8B2E2E"/>
        </w:rPr>
        <w:t>⭑ Important — mask.unsqueeze(1) adds a dimension, it doesn't remove one</w:t>
      </w:r>
    </w:p>
    <w:p w14:paraId="16BBBB67" w14:textId="77777777" w:rsidR="000C1641" w:rsidRDefault="00000000" w:rsidP="007E7E83">
      <w:pPr>
        <w:pBdr>
          <w:left w:val="single" w:sz="24" w:space="8" w:color="8B2E2E"/>
        </w:pBdr>
        <w:shd w:val="clear" w:color="auto" w:fill="FBEEE6"/>
        <w:spacing w:after="60"/>
        <w:ind w:left="100"/>
        <w:jc w:val="both"/>
      </w:pPr>
      <w:r>
        <w:t>This trips people up specifically because "squeeze" sounds like it should shrink something. It's the opposite: .unsqueeze(1) inserts one new dimension into the mask, specifically the heads dimension, so the exact same mask pattern can apply identically across every head. The original 512-dimensional information isn't being removed anywhere — it's the reshape into 8 separate 64-dimensional heads that reorganizes it, and the mask needs its own matching reshape to stay aligned with that reorganization.</w:t>
      </w:r>
    </w:p>
    <w:p w14:paraId="3B112932" w14:textId="77777777" w:rsidR="000C1641" w:rsidRDefault="00000000" w:rsidP="007E7E83">
      <w:pPr>
        <w:pBdr>
          <w:left w:val="single" w:sz="24" w:space="8" w:color="8B2E2E"/>
        </w:pBdr>
        <w:shd w:val="clear" w:color="auto" w:fill="FBEEE6"/>
        <w:spacing w:after="220"/>
        <w:ind w:left="100"/>
        <w:jc w:val="both"/>
      </w:pPr>
      <w:r>
        <w:t>The mechanism that actually applies one mask across every head without manually copying it 8 times is broadcasting — the same NumPy-style concept where an array with a size-1 dimension automatically stretches to match a larger dimension during an operation, rather than needing to be explicitly duplicated. This is the same broadcasting behavior you'd see in NumPy generally, not something unique to attention.</w:t>
      </w:r>
    </w:p>
    <w:p w14:paraId="1C6647A5" w14:textId="77777777" w:rsidR="000C1641" w:rsidRDefault="00000000" w:rsidP="007E7E83">
      <w:pPr>
        <w:spacing w:after="200" w:line="300" w:lineRule="auto"/>
        <w:jc w:val="both"/>
      </w:pPr>
      <w:r>
        <w:t>The larger, more general lesson worth carrying forward: the single biggest practical pain point in deep learning is maintaining correct tensor shapes across every operation — far more than any conceptual difficulty with the underlying math. PyTorch requires you to manage this explicitly (view, transpose, contiguous, squeeze, unsqueeze), whereas frameworks like Keras automate more of it for you at the cost of a bit less visibility into what's actually happening. Getting comfortable with shape mismatches — expecting them, debugging them methodically — is a normal, expected part of working with this material, not a sign that something is going uniquely wrong for you.</w:t>
      </w:r>
    </w:p>
    <w:p w14:paraId="1AD74EAC" w14:textId="77777777" w:rsidR="000C1641" w:rsidRDefault="00000000" w:rsidP="007E7E83">
      <w:pPr>
        <w:pStyle w:val="Heading1"/>
        <w:jc w:val="both"/>
      </w:pPr>
      <w:r>
        <w:t>6. Feed-Forward, Embeddings, and the Positional Encoding Buffer</w:t>
      </w:r>
    </w:p>
    <w:p w14:paraId="50F1EC22" w14:textId="77777777" w:rsidR="000C1641" w:rsidRDefault="00000000" w:rsidP="007E7E83">
      <w:pPr>
        <w:spacing w:after="200" w:line="300" w:lineRule="auto"/>
        <w:jc w:val="both"/>
      </w:pPr>
      <w:r>
        <w:t>The feed-forward block is genuinely the simplest piece in the notebook: two linear layers (512 → 2,048, then 2,048 → 512, matching the paper's numbers) with a ReLU-family activation and dropout in between — nothing here differs conceptually from prior sessions.</w:t>
      </w:r>
    </w:p>
    <w:p w14:paraId="6BFCB169" w14:textId="77777777" w:rsidR="000C1641" w:rsidRDefault="00000000" w:rsidP="007E7E83">
      <w:pPr>
        <w:spacing w:after="200" w:line="300" w:lineRule="auto"/>
        <w:jc w:val="both"/>
      </w:pPr>
      <w:r>
        <w:t>The embedding layer uses PyTorch's built-in nn.Embedding, with one detail worth remembering from the paper: the embedding output gets multiplied by √d_model before positional encoding is added — a scaling step applied specifically because the paper's embedding and pre-softmax output layers share the same weight matrix, and this multiplication helps keep the shared representation's scale well-behaved. Positional encoding itself follows the sine/cosine formula from the previous session, built here using torch.arange to generate the position indices, .unsqueeze() to reshape them into a column, and a shared "div_term" expression reused across both the sine and cosine halves of the formula, since the denominator of the formula is identical in both cases.</w:t>
      </w:r>
    </w:p>
    <w:p w14:paraId="582EF9E9" w14:textId="77777777" w:rsidR="000C1641" w:rsidRDefault="00000000" w:rsidP="007E7E83">
      <w:pPr>
        <w:pBdr>
          <w:left w:val="single" w:sz="24" w:space="8" w:color="8B2E2E"/>
        </w:pBdr>
        <w:shd w:val="clear" w:color="auto" w:fill="FBEEE6"/>
        <w:spacing w:before="160" w:after="60"/>
        <w:ind w:left="100"/>
        <w:jc w:val="both"/>
      </w:pPr>
      <w:r>
        <w:rPr>
          <w:b/>
          <w:bCs/>
          <w:color w:val="8B2E2E"/>
        </w:rPr>
        <w:t>⭑ Important — why the positional encoding gets stored in a register_buffer</w:t>
      </w:r>
    </w:p>
    <w:p w14:paraId="1D3647B9" w14:textId="77777777" w:rsidR="000C1641" w:rsidRDefault="00000000" w:rsidP="007E7E83">
      <w:pPr>
        <w:pBdr>
          <w:left w:val="single" w:sz="24" w:space="8" w:color="8B2E2E"/>
        </w:pBdr>
        <w:shd w:val="clear" w:color="auto" w:fill="FBEEE6"/>
        <w:spacing w:after="220"/>
        <w:ind w:left="100"/>
        <w:jc w:val="both"/>
      </w:pPr>
      <w:r>
        <w:t xml:space="preserve">Once the sine/cosine matrix is computed, it's stored using PyTorch's register_buffer mechanism rather than as an ordinary variable or a trainable parameter — and the distinction matters. A buffer is model-attached storage for values that need to travel with the model (get saved and loaded along with it, move to GPU with it, and so on) but that should never receive gradient updates during training. Positional encoding is a perfect fit: it's entirely static, computed once from a fixed formula, and never learned — exactly the kind of value a </w:t>
      </w:r>
      <w:r>
        <w:lastRenderedPageBreak/>
        <w:t>buffer exists for, as opposed to nn.Parameter, which is reserved for values you do want backpropagation to update.</w:t>
      </w:r>
    </w:p>
    <w:p w14:paraId="466A4326" w14:textId="77777777" w:rsidR="000C1641" w:rsidRDefault="00000000" w:rsidP="007E7E83">
      <w:pPr>
        <w:pStyle w:val="Heading1"/>
        <w:jc w:val="both"/>
      </w:pPr>
      <w:r>
        <w:t>7. Closing Notes / What's Next</w:t>
      </w:r>
    </w:p>
    <w:p w14:paraId="759ED275" w14:textId="77777777" w:rsidR="000C1641" w:rsidRDefault="00000000" w:rsidP="007E7E83">
      <w:pPr>
        <w:spacing w:after="200" w:line="300" w:lineRule="auto"/>
        <w:jc w:val="both"/>
      </w:pPr>
      <w:r>
        <w:t>Today completed the design phase only — every architectural piece (embeddings, positional encoding, multi-head attention, feed-forward, layer norm, residual connections, encoder stack, decoder stack, generator) now exists as defined PyTorch classes, but nothing has been instantiated into a running model or trained yet. Next session picks up exactly there: wiring these designed blocks into one complete model instance and starting the actual training loop on the toy dataset.</w:t>
      </w:r>
    </w:p>
    <w:p w14:paraId="68FCC18C" w14:textId="77777777" w:rsidR="000C1641" w:rsidRDefault="00000000" w:rsidP="007E7E83">
      <w:pPr>
        <w:spacing w:after="200" w:line="300" w:lineRule="auto"/>
        <w:jc w:val="both"/>
      </w:pPr>
      <w:r>
        <w:t>This build is explicitly meant to be a base to iterate on, not a final version — planned upgrades include swapping today's spaCy-based tokenization for proper byte-pair encoding (BPE), and eventually swapping the small toy dataset for the full WMT dataset used in the original paper, once the underlying architecture itself is solid. The same core codebase carries forward into future, larger variants (more encoder/decoder layers, bigger dimensions) without needing to be rebuilt from scratch. Later in the course, the same annotated-notebook approach will be used to build a decoder-only architecture (nanoGPT-style) from scratch as well, once the full encoder-decoder version is complete and trained.</w:t>
      </w:r>
    </w:p>
    <w:p w14:paraId="4399F931" w14:textId="77777777" w:rsidR="000C1641" w:rsidRDefault="00000000" w:rsidP="007E7E83">
      <w:pPr>
        <w:spacing w:after="200" w:line="300" w:lineRule="auto"/>
        <w:jc w:val="both"/>
      </w:pPr>
      <w:r>
        <w:t>There's no new formal assignment beyond continuing through the notebook's remaining cells (the full model assembly and the training loop) ahead of next session, so the pace of the live walkthrough stays manageable.</w:t>
      </w:r>
    </w:p>
    <w:p w14:paraId="04F9A4C5" w14:textId="77777777" w:rsidR="000C1641" w:rsidRDefault="00000000" w:rsidP="007E7E83">
      <w:pPr>
        <w:pStyle w:val="Heading1"/>
        <w:jc w:val="both"/>
      </w:pPr>
      <w:r>
        <w:t>Quick-Reference Glossary</w:t>
      </w:r>
    </w:p>
    <w:tbl>
      <w:tblPr>
        <w:tblW w:w="9000" w:type="dxa"/>
        <w:tblBorders>
          <w:top w:val="single" w:sz="4" w:space="0" w:color="C9BBAE"/>
          <w:left w:val="single" w:sz="4" w:space="0" w:color="C9BBAE"/>
          <w:bottom w:val="single" w:sz="4" w:space="0" w:color="C9BBAE"/>
          <w:right w:val="single" w:sz="4" w:space="0" w:color="C9BBAE"/>
          <w:insideH w:val="single" w:sz="4" w:space="0" w:color="C9BBAE"/>
          <w:insideV w:val="single" w:sz="4" w:space="0" w:color="C9BBAE"/>
        </w:tblBorders>
        <w:tblCellMar>
          <w:left w:w="10" w:type="dxa"/>
          <w:right w:w="10" w:type="dxa"/>
        </w:tblCellMar>
        <w:tblLook w:val="04A0" w:firstRow="1" w:lastRow="0" w:firstColumn="1" w:lastColumn="0" w:noHBand="0" w:noVBand="1"/>
      </w:tblPr>
      <w:tblGrid>
        <w:gridCol w:w="3200"/>
        <w:gridCol w:w="5800"/>
      </w:tblGrid>
      <w:tr w:rsidR="000C1641" w14:paraId="2FF5C7BC" w14:textId="77777777">
        <w:tblPrEx>
          <w:tblCellMar>
            <w:top w:w="0" w:type="dxa"/>
            <w:bottom w:w="0" w:type="dxa"/>
          </w:tblCellMar>
        </w:tblPrEx>
        <w:trPr>
          <w:tblHeader/>
        </w:trPr>
        <w:tc>
          <w:tcPr>
            <w:tcW w:w="3200" w:type="dxa"/>
            <w:shd w:val="clear" w:color="auto" w:fill="EDE3DA"/>
            <w:tcMar>
              <w:top w:w="80" w:type="dxa"/>
              <w:left w:w="100" w:type="dxa"/>
              <w:bottom w:w="80" w:type="dxa"/>
              <w:right w:w="100" w:type="dxa"/>
            </w:tcMar>
          </w:tcPr>
          <w:p w14:paraId="7832D67B" w14:textId="77777777" w:rsidR="000C1641" w:rsidRDefault="00000000" w:rsidP="007E7E83">
            <w:pPr>
              <w:jc w:val="both"/>
            </w:pPr>
            <w:r>
              <w:rPr>
                <w:b/>
                <w:bCs/>
              </w:rPr>
              <w:t>Term</w:t>
            </w:r>
          </w:p>
        </w:tc>
        <w:tc>
          <w:tcPr>
            <w:tcW w:w="5800" w:type="dxa"/>
            <w:shd w:val="clear" w:color="auto" w:fill="EDE3DA"/>
            <w:tcMar>
              <w:top w:w="80" w:type="dxa"/>
              <w:left w:w="100" w:type="dxa"/>
              <w:bottom w:w="80" w:type="dxa"/>
              <w:right w:w="100" w:type="dxa"/>
            </w:tcMar>
          </w:tcPr>
          <w:p w14:paraId="515B205F" w14:textId="77777777" w:rsidR="000C1641" w:rsidRDefault="00000000" w:rsidP="007E7E83">
            <w:pPr>
              <w:jc w:val="both"/>
            </w:pPr>
            <w:r>
              <w:rPr>
                <w:b/>
                <w:bCs/>
              </w:rPr>
              <w:t>Meaning</w:t>
            </w:r>
          </w:p>
        </w:tc>
      </w:tr>
      <w:tr w:rsidR="000C1641" w14:paraId="3DC6CA67" w14:textId="77777777">
        <w:tblPrEx>
          <w:tblCellMar>
            <w:top w:w="0" w:type="dxa"/>
            <w:bottom w:w="0" w:type="dxa"/>
          </w:tblCellMar>
        </w:tblPrEx>
        <w:tc>
          <w:tcPr>
            <w:tcW w:w="3200" w:type="dxa"/>
            <w:tcMar>
              <w:top w:w="60" w:type="dxa"/>
              <w:left w:w="100" w:type="dxa"/>
              <w:bottom w:w="60" w:type="dxa"/>
              <w:right w:w="100" w:type="dxa"/>
            </w:tcMar>
          </w:tcPr>
          <w:p w14:paraId="02FC4E5E" w14:textId="77777777" w:rsidR="000C1641" w:rsidRDefault="00000000" w:rsidP="007E7E83">
            <w:pPr>
              <w:jc w:val="both"/>
            </w:pPr>
            <w:r>
              <w:t>Max sequence length</w:t>
            </w:r>
          </w:p>
        </w:tc>
        <w:tc>
          <w:tcPr>
            <w:tcW w:w="5800" w:type="dxa"/>
            <w:tcMar>
              <w:top w:w="60" w:type="dxa"/>
              <w:left w:w="100" w:type="dxa"/>
              <w:bottom w:w="60" w:type="dxa"/>
              <w:right w:w="100" w:type="dxa"/>
            </w:tcMar>
          </w:tcPr>
          <w:p w14:paraId="2457222C" w14:textId="77777777" w:rsidR="000C1641" w:rsidRDefault="00000000" w:rsidP="007E7E83">
            <w:pPr>
              <w:jc w:val="both"/>
            </w:pPr>
            <w:r>
              <w:t>The fixed maximum number of tokens a model accepts per input; shorter sequences get padded up to it.</w:t>
            </w:r>
          </w:p>
        </w:tc>
      </w:tr>
      <w:tr w:rsidR="000C1641" w14:paraId="3CFC174E" w14:textId="77777777">
        <w:tblPrEx>
          <w:tblCellMar>
            <w:top w:w="0" w:type="dxa"/>
            <w:bottom w:w="0" w:type="dxa"/>
          </w:tblCellMar>
        </w:tblPrEx>
        <w:tc>
          <w:tcPr>
            <w:tcW w:w="3200" w:type="dxa"/>
            <w:tcMar>
              <w:top w:w="60" w:type="dxa"/>
              <w:left w:w="100" w:type="dxa"/>
              <w:bottom w:w="60" w:type="dxa"/>
              <w:right w:w="100" w:type="dxa"/>
            </w:tcMar>
          </w:tcPr>
          <w:p w14:paraId="0E4FA8CA" w14:textId="77777777" w:rsidR="000C1641" w:rsidRDefault="00000000" w:rsidP="007E7E83">
            <w:pPr>
              <w:jc w:val="both"/>
            </w:pPr>
            <w:r>
              <w:t>Padding token</w:t>
            </w:r>
          </w:p>
        </w:tc>
        <w:tc>
          <w:tcPr>
            <w:tcW w:w="5800" w:type="dxa"/>
            <w:tcMar>
              <w:top w:w="60" w:type="dxa"/>
              <w:left w:w="100" w:type="dxa"/>
              <w:bottom w:w="60" w:type="dxa"/>
              <w:right w:w="100" w:type="dxa"/>
            </w:tcMar>
          </w:tcPr>
          <w:p w14:paraId="210AF8EB" w14:textId="77777777" w:rsidR="000C1641" w:rsidRDefault="00000000" w:rsidP="007E7E83">
            <w:pPr>
              <w:jc w:val="both"/>
            </w:pPr>
            <w:r>
              <w:t>A meaningless placeholder token added purely to match max sequence length; never assigned a meaningful embedding.</w:t>
            </w:r>
          </w:p>
        </w:tc>
      </w:tr>
      <w:tr w:rsidR="000C1641" w14:paraId="728F5931" w14:textId="77777777">
        <w:tblPrEx>
          <w:tblCellMar>
            <w:top w:w="0" w:type="dxa"/>
            <w:bottom w:w="0" w:type="dxa"/>
          </w:tblCellMar>
        </w:tblPrEx>
        <w:tc>
          <w:tcPr>
            <w:tcW w:w="3200" w:type="dxa"/>
            <w:tcMar>
              <w:top w:w="60" w:type="dxa"/>
              <w:left w:w="100" w:type="dxa"/>
              <w:bottom w:w="60" w:type="dxa"/>
              <w:right w:w="100" w:type="dxa"/>
            </w:tcMar>
          </w:tcPr>
          <w:p w14:paraId="2E16CD33" w14:textId="77777777" w:rsidR="000C1641" w:rsidRDefault="00000000" w:rsidP="007E7E83">
            <w:pPr>
              <w:jc w:val="both"/>
            </w:pPr>
            <w:r>
              <w:t>Source mask</w:t>
            </w:r>
          </w:p>
        </w:tc>
        <w:tc>
          <w:tcPr>
            <w:tcW w:w="5800" w:type="dxa"/>
            <w:tcMar>
              <w:top w:w="60" w:type="dxa"/>
              <w:left w:w="100" w:type="dxa"/>
              <w:bottom w:w="60" w:type="dxa"/>
              <w:right w:w="100" w:type="dxa"/>
            </w:tcMar>
          </w:tcPr>
          <w:p w14:paraId="3BCAEA68" w14:textId="77777777" w:rsidR="000C1641" w:rsidRDefault="00000000" w:rsidP="007E7E83">
            <w:pPr>
              <w:jc w:val="both"/>
            </w:pPr>
            <w:r>
              <w:t>Neglects padding tokens in the encoder's sequence; also passed to the decoder so cross-attention ignores encoder padding.</w:t>
            </w:r>
          </w:p>
        </w:tc>
      </w:tr>
      <w:tr w:rsidR="000C1641" w14:paraId="0A9D899C" w14:textId="77777777">
        <w:tblPrEx>
          <w:tblCellMar>
            <w:top w:w="0" w:type="dxa"/>
            <w:bottom w:w="0" w:type="dxa"/>
          </w:tblCellMar>
        </w:tblPrEx>
        <w:tc>
          <w:tcPr>
            <w:tcW w:w="3200" w:type="dxa"/>
            <w:tcMar>
              <w:top w:w="60" w:type="dxa"/>
              <w:left w:w="100" w:type="dxa"/>
              <w:bottom w:w="60" w:type="dxa"/>
              <w:right w:w="100" w:type="dxa"/>
            </w:tcMar>
          </w:tcPr>
          <w:p w14:paraId="005D9C99" w14:textId="77777777" w:rsidR="000C1641" w:rsidRDefault="00000000" w:rsidP="007E7E83">
            <w:pPr>
              <w:jc w:val="both"/>
            </w:pPr>
            <w:r>
              <w:t>Target mask</w:t>
            </w:r>
          </w:p>
        </w:tc>
        <w:tc>
          <w:tcPr>
            <w:tcW w:w="5800" w:type="dxa"/>
            <w:tcMar>
              <w:top w:w="60" w:type="dxa"/>
              <w:left w:w="100" w:type="dxa"/>
              <w:bottom w:w="60" w:type="dxa"/>
              <w:right w:w="100" w:type="dxa"/>
            </w:tcMar>
          </w:tcPr>
          <w:p w14:paraId="224D4D5C" w14:textId="77777777" w:rsidR="000C1641" w:rsidRDefault="00000000" w:rsidP="007E7E83">
            <w:pPr>
              <w:jc w:val="both"/>
            </w:pPr>
            <w:r>
              <w:t>Does two jobs: neglects padding tokens in the decoder's sequence, and enforces causal (autoregressive) masking.</w:t>
            </w:r>
          </w:p>
        </w:tc>
      </w:tr>
      <w:tr w:rsidR="000C1641" w14:paraId="1C24096E" w14:textId="77777777">
        <w:tblPrEx>
          <w:tblCellMar>
            <w:top w:w="0" w:type="dxa"/>
            <w:bottom w:w="0" w:type="dxa"/>
          </w:tblCellMar>
        </w:tblPrEx>
        <w:tc>
          <w:tcPr>
            <w:tcW w:w="3200" w:type="dxa"/>
            <w:tcMar>
              <w:top w:w="60" w:type="dxa"/>
              <w:left w:w="100" w:type="dxa"/>
              <w:bottom w:w="60" w:type="dxa"/>
              <w:right w:w="100" w:type="dxa"/>
            </w:tcMar>
          </w:tcPr>
          <w:p w14:paraId="58B4D699" w14:textId="77777777" w:rsidR="000C1641" w:rsidRDefault="00000000" w:rsidP="007E7E83">
            <w:pPr>
              <w:jc w:val="both"/>
            </w:pPr>
            <w:r>
              <w:t>Generator</w:t>
            </w:r>
          </w:p>
        </w:tc>
        <w:tc>
          <w:tcPr>
            <w:tcW w:w="5800" w:type="dxa"/>
            <w:tcMar>
              <w:top w:w="60" w:type="dxa"/>
              <w:left w:w="100" w:type="dxa"/>
              <w:bottom w:w="60" w:type="dxa"/>
              <w:right w:w="100" w:type="dxa"/>
            </w:tcMar>
          </w:tcPr>
          <w:p w14:paraId="2C999CE0" w14:textId="77777777" w:rsidR="000C1641" w:rsidRDefault="00000000" w:rsidP="007E7E83">
            <w:pPr>
              <w:jc w:val="both"/>
            </w:pPr>
            <w:r>
              <w:t>The final linear + softmax block that converts the decoder's output vectors into vocabulary probabilities.</w:t>
            </w:r>
          </w:p>
        </w:tc>
      </w:tr>
      <w:tr w:rsidR="000C1641" w14:paraId="6C80025D" w14:textId="77777777">
        <w:tblPrEx>
          <w:tblCellMar>
            <w:top w:w="0" w:type="dxa"/>
            <w:bottom w:w="0" w:type="dxa"/>
          </w:tblCellMar>
        </w:tblPrEx>
        <w:tc>
          <w:tcPr>
            <w:tcW w:w="3200" w:type="dxa"/>
            <w:tcMar>
              <w:top w:w="60" w:type="dxa"/>
              <w:left w:w="100" w:type="dxa"/>
              <w:bottom w:w="60" w:type="dxa"/>
              <w:right w:w="100" w:type="dxa"/>
            </w:tcMar>
          </w:tcPr>
          <w:p w14:paraId="2D8A8273" w14:textId="77777777" w:rsidR="000C1641" w:rsidRDefault="00000000" w:rsidP="007E7E83">
            <w:pPr>
              <w:jc w:val="both"/>
            </w:pPr>
            <w:r>
              <w:t>Memory</w:t>
            </w:r>
          </w:p>
        </w:tc>
        <w:tc>
          <w:tcPr>
            <w:tcW w:w="5800" w:type="dxa"/>
            <w:tcMar>
              <w:top w:w="60" w:type="dxa"/>
              <w:left w:w="100" w:type="dxa"/>
              <w:bottom w:w="60" w:type="dxa"/>
              <w:right w:w="100" w:type="dxa"/>
            </w:tcMar>
          </w:tcPr>
          <w:p w14:paraId="35BB462D" w14:textId="77777777" w:rsidR="000C1641" w:rsidRDefault="00000000" w:rsidP="007E7E83">
            <w:pPr>
              <w:jc w:val="both"/>
            </w:pPr>
            <w:r>
              <w:t>This notebook's variable name for the encoder's final output (its K/V information) as received by the decoder.</w:t>
            </w:r>
          </w:p>
        </w:tc>
      </w:tr>
      <w:tr w:rsidR="000C1641" w14:paraId="2AE1C012" w14:textId="77777777">
        <w:tblPrEx>
          <w:tblCellMar>
            <w:top w:w="0" w:type="dxa"/>
            <w:bottom w:w="0" w:type="dxa"/>
          </w:tblCellMar>
        </w:tblPrEx>
        <w:tc>
          <w:tcPr>
            <w:tcW w:w="3200" w:type="dxa"/>
            <w:tcMar>
              <w:top w:w="60" w:type="dxa"/>
              <w:left w:w="100" w:type="dxa"/>
              <w:bottom w:w="60" w:type="dxa"/>
              <w:right w:w="100" w:type="dxa"/>
            </w:tcMar>
          </w:tcPr>
          <w:p w14:paraId="05E797B5" w14:textId="77777777" w:rsidR="000C1641" w:rsidRDefault="00000000" w:rsidP="007E7E83">
            <w:pPr>
              <w:jc w:val="both"/>
            </w:pPr>
            <w:r>
              <w:t>Deep copy vs. shallow copy</w:t>
            </w:r>
          </w:p>
        </w:tc>
        <w:tc>
          <w:tcPr>
            <w:tcW w:w="5800" w:type="dxa"/>
            <w:tcMar>
              <w:top w:w="60" w:type="dxa"/>
              <w:left w:w="100" w:type="dxa"/>
              <w:bottom w:w="60" w:type="dxa"/>
              <w:right w:w="100" w:type="dxa"/>
            </w:tcMar>
          </w:tcPr>
          <w:p w14:paraId="20B3C037" w14:textId="77777777" w:rsidR="000C1641" w:rsidRDefault="00000000" w:rsidP="007E7E83">
            <w:pPr>
              <w:jc w:val="both"/>
            </w:pPr>
            <w:r>
              <w:t>Deep copy gives each cloned layer independent parameters; shallow copy would share identical weights across all clones, breaking independent learning.</w:t>
            </w:r>
          </w:p>
        </w:tc>
      </w:tr>
      <w:tr w:rsidR="000C1641" w14:paraId="41C9326D" w14:textId="77777777">
        <w:tblPrEx>
          <w:tblCellMar>
            <w:top w:w="0" w:type="dxa"/>
            <w:bottom w:w="0" w:type="dxa"/>
          </w:tblCellMar>
        </w:tblPrEx>
        <w:tc>
          <w:tcPr>
            <w:tcW w:w="3200" w:type="dxa"/>
            <w:tcMar>
              <w:top w:w="60" w:type="dxa"/>
              <w:left w:w="100" w:type="dxa"/>
              <w:bottom w:w="60" w:type="dxa"/>
              <w:right w:w="100" w:type="dxa"/>
            </w:tcMar>
          </w:tcPr>
          <w:p w14:paraId="31922DF5" w14:textId="77777777" w:rsidR="000C1641" w:rsidRDefault="00000000" w:rsidP="007E7E83">
            <w:pPr>
              <w:jc w:val="both"/>
            </w:pPr>
            <w:r>
              <w:lastRenderedPageBreak/>
              <w:t>Layer normalization</w:t>
            </w:r>
          </w:p>
        </w:tc>
        <w:tc>
          <w:tcPr>
            <w:tcW w:w="5800" w:type="dxa"/>
            <w:tcMar>
              <w:top w:w="60" w:type="dxa"/>
              <w:left w:w="100" w:type="dxa"/>
              <w:bottom w:w="60" w:type="dxa"/>
              <w:right w:w="100" w:type="dxa"/>
            </w:tcMar>
          </w:tcPr>
          <w:p w14:paraId="4FF9EB6A" w14:textId="77777777" w:rsidR="000C1641" w:rsidRDefault="00000000" w:rsidP="007E7E83">
            <w:pPr>
              <w:jc w:val="both"/>
            </w:pPr>
            <w:r>
              <w:t>Normalizes using mean, standard deviation, and epsilon, plus learnable scale (gamma) and shift (beta) parameters initialized to 1 and 0.</w:t>
            </w:r>
          </w:p>
        </w:tc>
      </w:tr>
      <w:tr w:rsidR="000C1641" w14:paraId="6AA3CACA" w14:textId="77777777">
        <w:tblPrEx>
          <w:tblCellMar>
            <w:top w:w="0" w:type="dxa"/>
            <w:bottom w:w="0" w:type="dxa"/>
          </w:tblCellMar>
        </w:tblPrEx>
        <w:tc>
          <w:tcPr>
            <w:tcW w:w="3200" w:type="dxa"/>
            <w:tcMar>
              <w:top w:w="60" w:type="dxa"/>
              <w:left w:w="100" w:type="dxa"/>
              <w:bottom w:w="60" w:type="dxa"/>
              <w:right w:w="100" w:type="dxa"/>
            </w:tcMar>
          </w:tcPr>
          <w:p w14:paraId="5EA04F2C" w14:textId="77777777" w:rsidR="000C1641" w:rsidRDefault="00000000" w:rsidP="007E7E83">
            <w:pPr>
              <w:jc w:val="both"/>
            </w:pPr>
            <w:r>
              <w:t>Sublayer connection</w:t>
            </w:r>
          </w:p>
        </w:tc>
        <w:tc>
          <w:tcPr>
            <w:tcW w:w="5800" w:type="dxa"/>
            <w:tcMar>
              <w:top w:w="60" w:type="dxa"/>
              <w:left w:w="100" w:type="dxa"/>
              <w:bottom w:w="60" w:type="dxa"/>
              <w:right w:w="100" w:type="dxa"/>
            </w:tcMar>
          </w:tcPr>
          <w:p w14:paraId="470A2114" w14:textId="77777777" w:rsidR="000C1641" w:rsidRDefault="00000000" w:rsidP="007E7E83">
            <w:pPr>
              <w:jc w:val="both"/>
            </w:pPr>
            <w:r>
              <w:t>The residual wrapper: X + dropout(sublayer(X)); pre-norm vs. post-norm ordering is a design choice, not a mathematical difference.</w:t>
            </w:r>
          </w:p>
        </w:tc>
      </w:tr>
      <w:tr w:rsidR="000C1641" w14:paraId="34E33383" w14:textId="77777777">
        <w:tblPrEx>
          <w:tblCellMar>
            <w:top w:w="0" w:type="dxa"/>
            <w:bottom w:w="0" w:type="dxa"/>
          </w:tblCellMar>
        </w:tblPrEx>
        <w:tc>
          <w:tcPr>
            <w:tcW w:w="3200" w:type="dxa"/>
            <w:tcMar>
              <w:top w:w="60" w:type="dxa"/>
              <w:left w:w="100" w:type="dxa"/>
              <w:bottom w:w="60" w:type="dxa"/>
              <w:right w:w="100" w:type="dxa"/>
            </w:tcMar>
          </w:tcPr>
          <w:p w14:paraId="28A78F03" w14:textId="77777777" w:rsidR="000C1641" w:rsidRDefault="00000000" w:rsidP="007E7E83">
            <w:pPr>
              <w:jc w:val="both"/>
            </w:pPr>
            <w:r>
              <w:t>Self-attention vs. source attention (decoder)</w:t>
            </w:r>
          </w:p>
        </w:tc>
        <w:tc>
          <w:tcPr>
            <w:tcW w:w="5800" w:type="dxa"/>
            <w:tcMar>
              <w:top w:w="60" w:type="dxa"/>
              <w:left w:w="100" w:type="dxa"/>
              <w:bottom w:w="60" w:type="dxa"/>
              <w:right w:w="100" w:type="dxa"/>
            </w:tcMar>
          </w:tcPr>
          <w:p w14:paraId="3F262195" w14:textId="77777777" w:rsidR="000C1641" w:rsidRDefault="00000000" w:rsidP="007E7E83">
            <w:pPr>
              <w:jc w:val="both"/>
            </w:pPr>
            <w:r>
              <w:t>This notebook's terms for the decoder's own masked self-attention vs. its cross-attention to the encoder's output.</w:t>
            </w:r>
          </w:p>
        </w:tc>
      </w:tr>
      <w:tr w:rsidR="000C1641" w14:paraId="5A92898F" w14:textId="77777777">
        <w:tblPrEx>
          <w:tblCellMar>
            <w:top w:w="0" w:type="dxa"/>
            <w:bottom w:w="0" w:type="dxa"/>
          </w:tblCellMar>
        </w:tblPrEx>
        <w:tc>
          <w:tcPr>
            <w:tcW w:w="3200" w:type="dxa"/>
            <w:tcMar>
              <w:top w:w="60" w:type="dxa"/>
              <w:left w:w="100" w:type="dxa"/>
              <w:bottom w:w="60" w:type="dxa"/>
              <w:right w:w="100" w:type="dxa"/>
            </w:tcMar>
          </w:tcPr>
          <w:p w14:paraId="0B3BEF07" w14:textId="77777777" w:rsidR="000C1641" w:rsidRDefault="00000000" w:rsidP="007E7E83">
            <w:pPr>
              <w:jc w:val="both"/>
            </w:pPr>
            <w:r>
              <w:t>.view()</w:t>
            </w:r>
          </w:p>
        </w:tc>
        <w:tc>
          <w:tcPr>
            <w:tcW w:w="5800" w:type="dxa"/>
            <w:tcMar>
              <w:top w:w="60" w:type="dxa"/>
              <w:left w:w="100" w:type="dxa"/>
              <w:bottom w:w="60" w:type="dxa"/>
              <w:right w:w="100" w:type="dxa"/>
            </w:tcMar>
          </w:tcPr>
          <w:p w14:paraId="154D8922" w14:textId="77777777" w:rsidR="000C1641" w:rsidRDefault="00000000" w:rsidP="007E7E83">
            <w:pPr>
              <w:jc w:val="both"/>
            </w:pPr>
            <w:r>
              <w:t>Reshapes a tensor's dimensions without changing its underlying data — used to split d_model into (heads, d_k) and to merge them back.</w:t>
            </w:r>
          </w:p>
        </w:tc>
      </w:tr>
      <w:tr w:rsidR="000C1641" w14:paraId="2B014C13" w14:textId="77777777">
        <w:tblPrEx>
          <w:tblCellMar>
            <w:top w:w="0" w:type="dxa"/>
            <w:bottom w:w="0" w:type="dxa"/>
          </w:tblCellMar>
        </w:tblPrEx>
        <w:tc>
          <w:tcPr>
            <w:tcW w:w="3200" w:type="dxa"/>
            <w:tcMar>
              <w:top w:w="60" w:type="dxa"/>
              <w:left w:w="100" w:type="dxa"/>
              <w:bottom w:w="60" w:type="dxa"/>
              <w:right w:w="100" w:type="dxa"/>
            </w:tcMar>
          </w:tcPr>
          <w:p w14:paraId="42B4133B" w14:textId="77777777" w:rsidR="000C1641" w:rsidRDefault="00000000" w:rsidP="007E7E83">
            <w:pPr>
              <w:jc w:val="both"/>
            </w:pPr>
            <w:r>
              <w:t>.transpose()</w:t>
            </w:r>
          </w:p>
        </w:tc>
        <w:tc>
          <w:tcPr>
            <w:tcW w:w="5800" w:type="dxa"/>
            <w:tcMar>
              <w:top w:w="60" w:type="dxa"/>
              <w:left w:w="100" w:type="dxa"/>
              <w:bottom w:w="60" w:type="dxa"/>
              <w:right w:w="100" w:type="dxa"/>
            </w:tcMar>
          </w:tcPr>
          <w:p w14:paraId="1152A7F0" w14:textId="77777777" w:rsidR="000C1641" w:rsidRDefault="00000000" w:rsidP="007E7E83">
            <w:pPr>
              <w:jc w:val="both"/>
            </w:pPr>
            <w:r>
              <w:t>Swaps two specified dimensions of a tensor — used to move the heads dimension into position for parallel per-head attention.</w:t>
            </w:r>
          </w:p>
        </w:tc>
      </w:tr>
      <w:tr w:rsidR="000C1641" w14:paraId="25169E0B" w14:textId="77777777">
        <w:tblPrEx>
          <w:tblCellMar>
            <w:top w:w="0" w:type="dxa"/>
            <w:bottom w:w="0" w:type="dxa"/>
          </w:tblCellMar>
        </w:tblPrEx>
        <w:tc>
          <w:tcPr>
            <w:tcW w:w="3200" w:type="dxa"/>
            <w:tcMar>
              <w:top w:w="60" w:type="dxa"/>
              <w:left w:w="100" w:type="dxa"/>
              <w:bottom w:w="60" w:type="dxa"/>
              <w:right w:w="100" w:type="dxa"/>
            </w:tcMar>
          </w:tcPr>
          <w:p w14:paraId="6BD03CFB" w14:textId="77777777" w:rsidR="000C1641" w:rsidRDefault="00000000" w:rsidP="007E7E83">
            <w:pPr>
              <w:jc w:val="both"/>
            </w:pPr>
            <w:r>
              <w:t>.contiguous()</w:t>
            </w:r>
          </w:p>
        </w:tc>
        <w:tc>
          <w:tcPr>
            <w:tcW w:w="5800" w:type="dxa"/>
            <w:tcMar>
              <w:top w:w="60" w:type="dxa"/>
              <w:left w:w="100" w:type="dxa"/>
              <w:bottom w:w="60" w:type="dxa"/>
              <w:right w:w="100" w:type="dxa"/>
            </w:tcMar>
          </w:tcPr>
          <w:p w14:paraId="2EC05F59" w14:textId="77777777" w:rsidR="000C1641" w:rsidRDefault="00000000" w:rsidP="007E7E83">
            <w:pPr>
              <w:jc w:val="both"/>
            </w:pPr>
            <w:r>
              <w:t>Required before certain .view() calls after a transpose, since transpose changes how a tensor is read, not its physical memory layout.</w:t>
            </w:r>
          </w:p>
        </w:tc>
      </w:tr>
      <w:tr w:rsidR="000C1641" w14:paraId="66CCC25A" w14:textId="77777777">
        <w:tblPrEx>
          <w:tblCellMar>
            <w:top w:w="0" w:type="dxa"/>
            <w:bottom w:w="0" w:type="dxa"/>
          </w:tblCellMar>
        </w:tblPrEx>
        <w:tc>
          <w:tcPr>
            <w:tcW w:w="3200" w:type="dxa"/>
            <w:tcMar>
              <w:top w:w="60" w:type="dxa"/>
              <w:left w:w="100" w:type="dxa"/>
              <w:bottom w:w="60" w:type="dxa"/>
              <w:right w:w="100" w:type="dxa"/>
            </w:tcMar>
          </w:tcPr>
          <w:p w14:paraId="6FB9D520" w14:textId="77777777" w:rsidR="000C1641" w:rsidRDefault="00000000" w:rsidP="007E7E83">
            <w:pPr>
              <w:jc w:val="both"/>
            </w:pPr>
            <w:r>
              <w:t>.unsqueeze()</w:t>
            </w:r>
          </w:p>
        </w:tc>
        <w:tc>
          <w:tcPr>
            <w:tcW w:w="5800" w:type="dxa"/>
            <w:tcMar>
              <w:top w:w="60" w:type="dxa"/>
              <w:left w:w="100" w:type="dxa"/>
              <w:bottom w:w="60" w:type="dxa"/>
              <w:right w:w="100" w:type="dxa"/>
            </w:tcMar>
          </w:tcPr>
          <w:p w14:paraId="47321141" w14:textId="77777777" w:rsidR="000C1641" w:rsidRDefault="00000000" w:rsidP="007E7E83">
            <w:pPr>
              <w:jc w:val="both"/>
            </w:pPr>
            <w:r>
              <w:t>Adds a new dimension to a tensor (never removes one) — used on the mask so it can broadcast identically across all heads.</w:t>
            </w:r>
          </w:p>
        </w:tc>
      </w:tr>
      <w:tr w:rsidR="000C1641" w14:paraId="50EAEC30" w14:textId="77777777">
        <w:tblPrEx>
          <w:tblCellMar>
            <w:top w:w="0" w:type="dxa"/>
            <w:bottom w:w="0" w:type="dxa"/>
          </w:tblCellMar>
        </w:tblPrEx>
        <w:tc>
          <w:tcPr>
            <w:tcW w:w="3200" w:type="dxa"/>
            <w:tcMar>
              <w:top w:w="60" w:type="dxa"/>
              <w:left w:w="100" w:type="dxa"/>
              <w:bottom w:w="60" w:type="dxa"/>
              <w:right w:w="100" w:type="dxa"/>
            </w:tcMar>
          </w:tcPr>
          <w:p w14:paraId="5848EB6F" w14:textId="77777777" w:rsidR="000C1641" w:rsidRDefault="00000000" w:rsidP="007E7E83">
            <w:pPr>
              <w:jc w:val="both"/>
            </w:pPr>
            <w:r>
              <w:t>Broadcasting</w:t>
            </w:r>
          </w:p>
        </w:tc>
        <w:tc>
          <w:tcPr>
            <w:tcW w:w="5800" w:type="dxa"/>
            <w:tcMar>
              <w:top w:w="60" w:type="dxa"/>
              <w:left w:w="100" w:type="dxa"/>
              <w:bottom w:w="60" w:type="dxa"/>
              <w:right w:w="100" w:type="dxa"/>
            </w:tcMar>
          </w:tcPr>
          <w:p w14:paraId="007CDB05" w14:textId="77777777" w:rsidR="000C1641" w:rsidRDefault="00000000" w:rsidP="007E7E83">
            <w:pPr>
              <w:jc w:val="both"/>
            </w:pPr>
            <w:r>
              <w:t>The NumPy-style mechanism that lets a smaller-shaped tensor automatically apply across a larger one without manual duplication.</w:t>
            </w:r>
          </w:p>
        </w:tc>
      </w:tr>
      <w:tr w:rsidR="000C1641" w14:paraId="21273F77" w14:textId="77777777">
        <w:tblPrEx>
          <w:tblCellMar>
            <w:top w:w="0" w:type="dxa"/>
            <w:bottom w:w="0" w:type="dxa"/>
          </w:tblCellMar>
        </w:tblPrEx>
        <w:tc>
          <w:tcPr>
            <w:tcW w:w="3200" w:type="dxa"/>
            <w:tcMar>
              <w:top w:w="60" w:type="dxa"/>
              <w:left w:w="100" w:type="dxa"/>
              <w:bottom w:w="60" w:type="dxa"/>
              <w:right w:w="100" w:type="dxa"/>
            </w:tcMar>
          </w:tcPr>
          <w:p w14:paraId="5F73CF12" w14:textId="77777777" w:rsidR="000C1641" w:rsidRDefault="00000000" w:rsidP="007E7E83">
            <w:pPr>
              <w:jc w:val="both"/>
            </w:pPr>
            <w:r>
              <w:t>register_buffer</w:t>
            </w:r>
          </w:p>
        </w:tc>
        <w:tc>
          <w:tcPr>
            <w:tcW w:w="5800" w:type="dxa"/>
            <w:tcMar>
              <w:top w:w="60" w:type="dxa"/>
              <w:left w:w="100" w:type="dxa"/>
              <w:bottom w:w="60" w:type="dxa"/>
              <w:right w:w="100" w:type="dxa"/>
            </w:tcMar>
          </w:tcPr>
          <w:p w14:paraId="78DBBE7A" w14:textId="77777777" w:rsidR="000C1641" w:rsidRDefault="00000000" w:rsidP="007E7E83">
            <w:pPr>
              <w:jc w:val="both"/>
            </w:pPr>
            <w:r>
              <w:t>Stores a value as persistent, model-attached state that is never updated by gradients — used for the static positional encoding matrix.</w:t>
            </w:r>
          </w:p>
        </w:tc>
      </w:tr>
    </w:tbl>
    <w:p w14:paraId="79BA767E" w14:textId="77777777" w:rsidR="000C1641" w:rsidRDefault="00000000" w:rsidP="007E7E83">
      <w:pPr>
        <w:pStyle w:val="Heading1"/>
        <w:jc w:val="both"/>
      </w:pPr>
      <w:r>
        <w:t>Common Points of Confusion: Class Q&amp;A</w:t>
      </w:r>
    </w:p>
    <w:p w14:paraId="0160BDCF" w14:textId="77777777" w:rsidR="000C1641" w:rsidRDefault="00000000" w:rsidP="007E7E83">
      <w:pPr>
        <w:spacing w:after="200" w:line="300" w:lineRule="auto"/>
        <w:jc w:val="both"/>
      </w:pPr>
      <w:r>
        <w:t>These are the questions from class discussion that surfaced genuine points of confusion — the kind worth knowing cold, since if a classmate got tripped up here, an interviewer might expect you to untangle the same thing on the spot.</w:t>
      </w:r>
    </w:p>
    <w:p w14:paraId="775E4F64" w14:textId="77777777" w:rsidR="000C1641" w:rsidRDefault="00000000" w:rsidP="007E7E83">
      <w:pPr>
        <w:spacing w:before="200" w:after="80"/>
        <w:jc w:val="both"/>
      </w:pPr>
      <w:r>
        <w:rPr>
          <w:b/>
          <w:bCs/>
          <w:color w:val="8B2E2E"/>
        </w:rPr>
        <w:t>Q: Is the decoder's masked (causal) attention only something you need to worry about during inference — since that's when future tokens genuinely don't exist yet — or does it matter during training too?</w:t>
      </w:r>
    </w:p>
    <w:p w14:paraId="78189B13" w14:textId="77777777" w:rsidR="000C1641" w:rsidRDefault="00000000" w:rsidP="007E7E83">
      <w:pPr>
        <w:spacing w:after="120" w:line="300" w:lineRule="auto"/>
        <w:jc w:val="both"/>
      </w:pPr>
      <w:r>
        <w:t>A: It's required in both, without exception. Masking isn't an inference-time workaround; it's a structural property of what makes something a decoder in the first place. During training, an entire target sequence is available and gets processed in a single forward pass for efficiency — but without the causal mask, each position could freely attend to positions that come after it in that same pass, which would let the model "cheat" by looking at the answer it's supposed to be predicting. The mask enforces the same past-only visibility rule during training as during inference, which is exactly what keeps the two consistent with each other.</w:t>
      </w:r>
    </w:p>
    <w:p w14:paraId="630214EC" w14:textId="77777777" w:rsidR="000C1641" w:rsidRDefault="00000000" w:rsidP="007E7E83">
      <w:pPr>
        <w:spacing w:before="200" w:after="80"/>
        <w:jc w:val="both"/>
      </w:pPr>
      <w:r>
        <w:rPr>
          <w:b/>
          <w:bCs/>
          <w:color w:val="8B2E2E"/>
        </w:rPr>
        <w:lastRenderedPageBreak/>
        <w:t>Q: When the encoder or decoder stack gets built by cloning N identical layers, does that cloning also duplicate the multi-head attention module itself, or just something else?</w:t>
      </w:r>
    </w:p>
    <w:p w14:paraId="61E986A9" w14:textId="77777777" w:rsidR="000C1641" w:rsidRDefault="00000000" w:rsidP="007E7E83">
      <w:pPr>
        <w:spacing w:after="120" w:line="300" w:lineRule="auto"/>
        <w:jc w:val="both"/>
      </w:pPr>
      <w:r>
        <w:t>A: Just the sublayer-connection wrappers — the residual-plus-normalization pieces — not the attention or feed-forward modules themselves. Inside a single encoder layer, for instance, there are two sublayer connections (one placed before the self-attention step, one before the feed-forward step), and those two wrapper instances are what get cloned, since each needs its own independent normalization parameters even within the same layer. The multi-head attention module and the feed-forward module are each defined once per layer and simply referenced inside their respective wrapper — they aren't separately duplicated by that particular clone operation. (Separately, at the higher level, the entire encoder layer — attention, feed-forward, and both wrappers together — does get cloned N times to build the full 6-layer stack; that's a different, higher-level use of the same deep-copy mechanism.)</w:t>
      </w:r>
    </w:p>
    <w:p w14:paraId="56DFF4EF" w14:textId="77777777" w:rsidR="000C1641" w:rsidRDefault="00000000" w:rsidP="007E7E83">
      <w:pPr>
        <w:spacing w:before="200" w:after="80"/>
        <w:jc w:val="both"/>
      </w:pPr>
      <w:r>
        <w:rPr>
          <w:b/>
          <w:bCs/>
          <w:color w:val="8B2E2E"/>
        </w:rPr>
        <w:t>Q: When computing attention scores, why transpose specifically the last two dimensions of the Key matrix (using -2, -1 indexing) rather than the whole matrix?</w:t>
      </w:r>
    </w:p>
    <w:p w14:paraId="68C4521C" w14:textId="77777777" w:rsidR="000C1641" w:rsidRDefault="00000000" w:rsidP="007E7E83">
      <w:pPr>
        <w:spacing w:after="120" w:line="300" w:lineRule="auto"/>
        <w:jc w:val="both"/>
      </w:pPr>
      <w:r>
        <w:t>A: Because only the sequence-length and per-head-dimension axes actually need to swap places for the matrix multiplication to align correctly — the batch dimension and the heads dimension (if present) must stay exactly where they are. Using negative indexing (-2, -1) rather than fixed positive positions (like 0, 1) is a practical safeguard: it always grabs the last two axes no matter how many leading dimensions the tensor happens to have (batch alone, or batch-and-heads together), so the same line of code keeps working correctly even as the tensor's shape grows more complex earlier in the pipeline.</w:t>
      </w:r>
    </w:p>
    <w:p w14:paraId="4E8EDB7B" w14:textId="77777777" w:rsidR="000C1641" w:rsidRDefault="00000000" w:rsidP="007E7E83">
      <w:pPr>
        <w:spacing w:before="200" w:after="80"/>
        <w:jc w:val="both"/>
      </w:pPr>
      <w:r>
        <w:rPr>
          <w:b/>
          <w:bCs/>
          <w:color w:val="8B2E2E"/>
        </w:rPr>
        <w:t>Q: If the source mask already gets built to hide padding tokens in the encoder's own sequence, why does that same source mask also need to be sent to the decoder?</w:t>
      </w:r>
    </w:p>
    <w:p w14:paraId="5986D952" w14:textId="77777777" w:rsidR="000C1641" w:rsidRDefault="00000000" w:rsidP="007E7E83">
      <w:pPr>
        <w:spacing w:after="120" w:line="300" w:lineRule="auto"/>
        <w:jc w:val="both"/>
      </w:pPr>
      <w:r>
        <w:t>A: Because the encoder's masking only controls what happens inside the encoder itself — it has no effect on what the decoder later sees during cross-attention. Once the encoder finishes and hands its output (K and V) to the decoder, the decoder has no independent way of knowing which of those positions were real tokens and which were padding, unless that same source mask travels along with the output and gets applied again during the cross-attention step. Without it, the decoder would attend to meaningless padding positions from the encoder's side during generation, which is exactly what the source mask is there to prevent — its job spans both the encoder's own processing and the decoder's cross-attention into that output.</w:t>
      </w:r>
    </w:p>
    <w:sectPr w:rsidR="000C1641">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920C4"/>
    <w:multiLevelType w:val="hybridMultilevel"/>
    <w:tmpl w:val="760E673A"/>
    <w:lvl w:ilvl="0" w:tplc="91F4E77C">
      <w:start w:val="1"/>
      <w:numFmt w:val="bullet"/>
      <w:lvlText w:val="●"/>
      <w:lvlJc w:val="left"/>
      <w:pPr>
        <w:ind w:left="720" w:hanging="360"/>
      </w:pPr>
    </w:lvl>
    <w:lvl w:ilvl="1" w:tplc="1E5CF0DE">
      <w:start w:val="1"/>
      <w:numFmt w:val="bullet"/>
      <w:lvlText w:val="○"/>
      <w:lvlJc w:val="left"/>
      <w:pPr>
        <w:ind w:left="1440" w:hanging="360"/>
      </w:pPr>
    </w:lvl>
    <w:lvl w:ilvl="2" w:tplc="1894685A">
      <w:start w:val="1"/>
      <w:numFmt w:val="bullet"/>
      <w:lvlText w:val="■"/>
      <w:lvlJc w:val="left"/>
      <w:pPr>
        <w:ind w:left="2160" w:hanging="360"/>
      </w:pPr>
    </w:lvl>
    <w:lvl w:ilvl="3" w:tplc="9F4A4D2E">
      <w:start w:val="1"/>
      <w:numFmt w:val="bullet"/>
      <w:lvlText w:val="●"/>
      <w:lvlJc w:val="left"/>
      <w:pPr>
        <w:ind w:left="2880" w:hanging="360"/>
      </w:pPr>
    </w:lvl>
    <w:lvl w:ilvl="4" w:tplc="72B63372">
      <w:start w:val="1"/>
      <w:numFmt w:val="bullet"/>
      <w:lvlText w:val="○"/>
      <w:lvlJc w:val="left"/>
      <w:pPr>
        <w:ind w:left="3600" w:hanging="360"/>
      </w:pPr>
    </w:lvl>
    <w:lvl w:ilvl="5" w:tplc="25CA01A6">
      <w:start w:val="1"/>
      <w:numFmt w:val="bullet"/>
      <w:lvlText w:val="■"/>
      <w:lvlJc w:val="left"/>
      <w:pPr>
        <w:ind w:left="4320" w:hanging="360"/>
      </w:pPr>
    </w:lvl>
    <w:lvl w:ilvl="6" w:tplc="906034EA">
      <w:start w:val="1"/>
      <w:numFmt w:val="bullet"/>
      <w:lvlText w:val="●"/>
      <w:lvlJc w:val="left"/>
      <w:pPr>
        <w:ind w:left="5040" w:hanging="360"/>
      </w:pPr>
    </w:lvl>
    <w:lvl w:ilvl="7" w:tplc="41469C0E">
      <w:start w:val="1"/>
      <w:numFmt w:val="bullet"/>
      <w:lvlText w:val="●"/>
      <w:lvlJc w:val="left"/>
      <w:pPr>
        <w:ind w:left="5760" w:hanging="360"/>
      </w:pPr>
    </w:lvl>
    <w:lvl w:ilvl="8" w:tplc="5C3E2E6E">
      <w:start w:val="1"/>
      <w:numFmt w:val="bullet"/>
      <w:lvlText w:val="●"/>
      <w:lvlJc w:val="left"/>
      <w:pPr>
        <w:ind w:left="6480" w:hanging="360"/>
      </w:pPr>
    </w:lvl>
  </w:abstractNum>
  <w:num w:numId="1" w16cid:durableId="1337465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641"/>
    <w:rsid w:val="000C1641"/>
    <w:rsid w:val="002D2F5B"/>
    <w:rsid w:val="007E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5DF3"/>
  <w15:docId w15:val="{A6E1B700-3A19-490C-98CC-3162ABA1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BBAE"/>
      </w:pBdr>
      <w:spacing w:before="320" w:after="160"/>
      <w:outlineLvl w:val="0"/>
    </w:pPr>
    <w:rPr>
      <w:b/>
      <w:bCs/>
      <w:color w:val="8B2E2E"/>
      <w:sz w:val="30"/>
      <w:szCs w:val="30"/>
    </w:rPr>
  </w:style>
  <w:style w:type="paragraph" w:styleId="Heading2">
    <w:name w:val="heading 2"/>
    <w:uiPriority w:val="9"/>
    <w:semiHidden/>
    <w:unhideWhenUsed/>
    <w:qFormat/>
    <w:pPr>
      <w:spacing w:before="240" w:after="120"/>
      <w:outlineLvl w:val="1"/>
    </w:pPr>
    <w:rPr>
      <w:b/>
      <w:bCs/>
      <w:color w:val="5A5A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3287</Words>
  <Characters>18736</Characters>
  <Application>Microsoft Office Word</Application>
  <DocSecurity>0</DocSecurity>
  <Lines>156</Lines>
  <Paragraphs>43</Paragraphs>
  <ScaleCrop>false</ScaleCrop>
  <Company/>
  <LinksUpToDate>false</LinksUpToDate>
  <CharactersWithSpaces>21980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Anjum</cp:lastModifiedBy>
  <cp:revision>2</cp:revision>
  <dcterms:created xsi:type="dcterms:W3CDTF">2026-08-17T16:31:00Z</dcterms:created>
  <dcterms:modified xsi:type="dcterms:W3CDTF">2026-08-17T16:35:00Z</dcterms:modified>
</cp:coreProperties>
</file>