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23 August 2026 (Practical, Part 3)</w:t>
      </w:r>
    </w:p>
    <w:p>
      <w:pPr>
        <w:spacing w:after="400"/>
      </w:pPr>
      <w:r>
        <w:rPr>
          <w:color w:val="555555"/>
          <w:sz w:val="22"/>
          <w:szCs w:val="22"/>
        </w:rPr>
        <w:t xml:space="preserve">Label smoothing, building a real vocabulary, and training the finished model on real data.</w:t>
      </w:r>
    </w:p>
    <w:p>
      <w:pPr>
        <w:pStyle w:val="Heading1"/>
        <w:spacing w:after="160" w:before="320"/>
      </w:pPr>
      <w:r>
        <w:t xml:space="preserve">1. Two Evaluation Metrics Worth Knowing: Perplexity and BLEU</w:t>
      </w:r>
    </w:p>
    <w:p>
      <w:pPr>
        <w:spacing w:after="200" w:line="300"/>
      </w:pPr>
      <w:r>
        <w:t xml:space="preserve">Before touching regularization, two long-standing evaluation metrics are worth having straight, since the paper reports both. Perplexity measures a model's predictability — in simple terms, how well it can guess the next word in a sequence. A model that predicts correctly has low perplexity; a model that keeps getting surprised by what actually comes next has high perplexity. It helps to think of perplexity as a stand-in for "confusion": lower perplexity means a more confident, more accurate model, and that's the direction you always want to move in.</w:t>
      </w:r>
    </w:p>
    <w:p>
      <w:pPr>
        <w:spacing w:after="200" w:line="300"/>
      </w:pPr>
      <w:r>
        <w:t xml:space="preserve">BLEU (Bilingual Evaluation Understudy) is specifically a machine-translation metric — it compares a machine-translated sentence against a human-translated ground truth and checks two things: precision (how many words genuinely overlap between the two) and fluency (whether the output reads naturally rather than sounding robotic). Note that BLEU has no recall component, only precision-style overlap. Unlike perplexity, higher BLEU is better — more overlap with the human reference means a closer, more accurate translation. BLEU is the original, bare-minimum metric in this space; ROUGE and METEOR came later as stricter, upgraded variants, and both are common choices alongside BLEU in real machine-translation evaluation.</w:t>
      </w:r>
    </w:p>
    <w:p>
      <w:pPr>
        <w:pStyle w:val="Heading1"/>
        <w:spacing w:after="160" w:before="320"/>
      </w:pPr>
      <w:r>
        <w:t xml:space="preserve">2. Label Smoothing: Why the Model Shouldn't Be 100% Confident</w:t>
      </w:r>
    </w:p>
    <w:p>
      <w:pPr>
        <w:spacing w:after="200" w:line="300"/>
      </w:pPr>
      <w:r>
        <w:t xml:space="preserve">This is today's core new mechanism, and it's a regularization technique — the same broad category dropout belongs to, just applied differently. The problem it solves: a model that's trained to output 100% confidence on the correct answer, every time, tends to become overconfident and generalizes worse to sequences it hasn't seen before. Label smoothing deliberately introduces a small amount of uncertainty into training so the model never gets to be fully, rigidly certain.</w:t>
      </w:r>
    </w:p>
    <w:p>
      <w:pPr>
        <w:spacing w:after="200" w:line="300"/>
      </w:pPr>
      <w:r>
        <w:t xml:space="preserve">This requires a different loss function than plain cross-entropy. Cross-entropy is built around comparing a prediction against a one-hot-encoded ground truth (100% on the correct class, 0% everywhere else) — but once label smoothing is introduced, the "ground truth" itself is no longer one-hot; it's a full probability distribution. Comparing two probability distributions against each other is exactly the job of KL-divergence (Kullback-Leibler divergence) loss, which is why it replaces cross-entropy here. The underlying idea for label smoothing itself doesn't originate in NLP at all — it traces back to the Inception (GoogLeNet) computer-vision architecture papers, the same lineage that originally inspired the factorization idea behind splitting attention into multiple heads.</w:t>
      </w:r>
    </w:p>
    <w:p>
      <w:pPr>
        <w:pBdr>
          <w:left w:val="single" w:color="8B2E2E" w:sz="24" w:space="8"/>
        </w:pBdr>
        <w:shd w:fill="FBEEE6" w:val="clear"/>
        <w:spacing w:after="60" w:before="160"/>
        <w:ind w:left="100"/>
      </w:pPr>
      <w:r>
        <w:rPr>
          <w:b/>
          <w:bCs/>
          <w:color w:val="8B2E2E"/>
        </w:rPr>
        <w:t xml:space="preserve">⭑ Important — the smoothing mechanism, worked through with real numbers</w:t>
      </w:r>
    </w:p>
    <w:p>
      <w:pPr>
        <w:pBdr>
          <w:left w:val="single" w:color="8B2E2E" w:sz="24" w:space="8"/>
        </w:pBdr>
        <w:shd w:fill="FBEEE6" w:val="clear"/>
        <w:spacing w:after="60" w:before="0"/>
        <w:ind w:left="100"/>
      </w:pPr>
      <w:r>
        <w:t xml:space="preserve">Start with an ordinary one-hot target: the correct word gets 100%, everything else gets 0%. Label smoothing takes away a small fixed slice of that 100% — controlled by a smoothing parameter, epsilon_LS (0.1, or 10%, in the paper) — leaving the correct word with confidence = 1 − epsilon_LS (so 90% confidence with the paper's value). That removed 10% doesn't vanish; it gets redistributed uniformly across every other word in the vocabulary, excluding two positions specifically: the padding token (which should never receive real probability) and the correct word itself (already handled above). That's why the uniform-fill denominator is vocabulary size minus 2, not the full vocabulary size.</w:t>
      </w:r>
    </w:p>
    <w:p>
      <w:pPr>
        <w:pBdr>
          <w:left w:val="single" w:color="8B2E2E" w:sz="24" w:space="8"/>
        </w:pBdr>
        <w:shd w:fill="FBEEE6" w:val="clear"/>
        <w:spacing w:after="60" w:before="0"/>
        <w:ind w:left="100"/>
      </w:pPr>
      <w:r>
        <w:t xml:space="preserve">Concretely, with a toy 5-word vocabulary, 10% smoothing, padding at index 0, and the correct word at index 2: the fill value for every other real word is 0.1 ÷ (5 − 2) = 0.033. The final smoothed target distribution ends up as [0, 0.033, 0.9, 0.033, 0.033] — index 0 (padding) forced to zero, index 2 (correct) at 0.9, and the two remaining real words each picking up a small, equal share of the leftover 10%. At real vocabulary scale (tens of thousands of words), that redistributed share per word becomes vanishingly small — but it's still nonzero, which is the entire point: it keeps the model from ever being told a wrong answer is impossible.</w:t>
      </w:r>
    </w:p>
    <w:p>
      <w:pPr>
        <w:pBdr>
          <w:left w:val="single" w:color="8B2E2E" w:sz="24" w:space="8"/>
        </w:pBdr>
        <w:shd w:fill="FBEEE6" w:val="clear"/>
        <w:spacing w:after="220" w:before="0"/>
        <w:ind w:left="100"/>
      </w:pPr>
      <w:r>
        <w:t xml:space="preserve">There's a genuine range to respect here: never push the smoothing factor much past roughly 15%, and the paper itself uses only 10% — even as low as 2% is perfectly reasonable. Push it too high and you're not just softening confidence anymore, you're actively destroying real predictive signal, which measurably hurts accuracy rather than just regularizing it. One more edge case handled explicitly: if a given target position is itself a padding token, its entire smoothed distribution gets forced to all zeros — there's nothing meaningful to predict there, and zeroing it out guarantees it contributes nothing to the loss.</w:t>
      </w:r>
    </w:p>
    <w:p>
      <w:pPr>
        <w:spacing w:after="200" w:line="300"/>
      </w:pPr>
      <w:r>
        <w:t xml:space="preserve">One implementation detail worth remembering: the smoothed target distribution gets built with .detach(), the same operation used elsewhere to disconnect a tensor from the computational graph. This target is a fixed, precomputed distribution to compare against — it isn't something that itself needs a gradient, so detaching it keeps backpropagation focused only on the model's actual predictions.</w:t>
      </w:r>
    </w:p>
    <w:p>
      <w:pPr>
        <w:pStyle w:val="Heading1"/>
        <w:spacing w:after="160" w:before="320"/>
      </w:pPr>
      <w:r>
        <w:t xml:space="preserve">3. Completing the Pipeline: Synthetic Data and a Callable Loss</w:t>
      </w:r>
    </w:p>
    <w:p>
      <w:pPr>
        <w:spacing w:after="200" w:line="300"/>
      </w:pPr>
      <w:r>
        <w:t xml:space="preserve">Before loading any real data, the notebook reuses the same synthetic/dummy-data trick from earlier sessions — random fake sequences, run all the way through embeddings, attention, the generator, and now the label-smoothed KL-divergence loss — purely to confirm the entire pipeline still runs end to end with the new loss function slotted in. A dedicated SimpleLossCompute class wraps the generator and the label-smoothing criterion together into one callable step (implemented via Python's __call__, which is what lets an object be invoked directly like a function) — this is the exact object that gets passed into run_epoch and reused for every batch during real training, tying directly back to last session's loss/loss_node distinction: this callable is where that distinction actually gets used in practice.</w:t>
      </w:r>
    </w:p>
    <w:p>
      <w:pPr>
        <w:spacing w:after="200" w:line="300"/>
      </w:pPr>
      <w:r>
        <w:t xml:space="preserve">Worth confirming explicitly: no loss function is ever needed during inference or prediction — only during training. Loss exists to measure error against a known correct answer, and during real generation there's no ground truth available to measure against in the first place, so the concept simply doesn't apply outside of training.</w:t>
      </w:r>
    </w:p>
    <w:p>
      <w:pPr>
        <w:pStyle w:val="Heading1"/>
        <w:spacing w:after="160" w:before="320"/>
      </w:pPr>
      <w:r>
        <w:t xml:space="preserve">4. Building a Real Vocabulary from Scratch</w:t>
      </w:r>
    </w:p>
    <w:p>
      <w:pPr>
        <w:spacing w:after="200" w:line="300"/>
      </w:pPr>
      <w:r>
        <w:t xml:space="preserve">The original Annotated Transformer relied on helper classes from torchtext (PyTorch's NLP utility library) that have since been removed or changed, so this notebook rebuilds a vocabulary system manually rather than depending on them.</w:t>
      </w:r>
    </w:p>
    <w:p>
      <w:pPr>
        <w:pBdr>
          <w:left w:val="single" w:color="8B2E2E" w:sz="24" w:space="8"/>
        </w:pBdr>
        <w:shd w:fill="FBEEE6" w:val="clear"/>
        <w:spacing w:after="60" w:before="160"/>
        <w:ind w:left="100"/>
      </w:pPr>
      <w:r>
        <w:rPr>
          <w:b/>
          <w:bCs/>
          <w:color w:val="8B2E2E"/>
        </w:rPr>
        <w:t xml:space="preserve">⭑ Important — StoI, ItoS, and the reserved special tokens</w:t>
      </w:r>
    </w:p>
    <w:p>
      <w:pPr>
        <w:pBdr>
          <w:left w:val="single" w:color="8B2E2E" w:sz="24" w:space="8"/>
        </w:pBdr>
        <w:shd w:fill="FBEEE6" w:val="clear"/>
        <w:spacing w:after="60" w:before="0"/>
        <w:ind w:left="100"/>
      </w:pPr>
      <w:r>
        <w:t xml:space="preserve">The custom Vocab class maintains two mirror-image lookup dictionaries: STOI (string-to-index) maps a word to its numeric ID, and ITOS (index-to-string) does the reverse — exactly the lookup you need going in both directions, since training works entirely in numeric IDs but a human-readable prediction needs to be converted back to words afterward. A default/unknown index handles any word that shows up during inference but was never seen in the training vocabulary — a real and expected scenario, not an edge case to ignore.</w:t>
      </w:r>
    </w:p>
    <w:p>
      <w:pPr>
        <w:pBdr>
          <w:left w:val="single" w:color="8B2E2E" w:sz="24" w:space="8"/>
        </w:pBdr>
        <w:shd w:fill="FBEEE6" w:val="clear"/>
        <w:spacing w:after="60" w:before="0"/>
        <w:ind w:left="100"/>
      </w:pPr>
      <w:r>
        <w:t xml:space="preserve">Four reserved special tokens get fixed, hardcoded IDs before anything else: start-of-sequence, end-of-sequence, a blank/padding token, and an unknown token (commonly 0, 1, 2, 3, though the exact numbering is architecture-specific — BERT-family models, for instance, use different reserved ranges entirely). These reserved positions are always counted as part of the total vocabulary size, not added on top of it — vocabulary size means every real word plus these four reserved slots together.</w:t>
      </w:r>
    </w:p>
    <w:p>
      <w:pPr>
        <w:pBdr>
          <w:left w:val="single" w:color="8B2E2E" w:sz="24" w:space="8"/>
        </w:pBdr>
        <w:shd w:fill="FBEEE6" w:val="clear"/>
        <w:spacing w:after="220" w:before="0"/>
        <w:ind w:left="100"/>
      </w:pPr>
      <w:r>
        <w:t xml:space="preserve">A Counter (a standard Python collections tool) tallies how often each raw word appears across the dataset for both languages, and the vocabulary gets built from the most frequent words, with the four reserved tokens claiming their fixed positions first before any real word gets assigned an ID.</w:t>
      </w:r>
    </w:p>
    <w:p>
      <w:pPr>
        <w:spacing w:after="200" w:line="300"/>
      </w:pPr>
      <w:r>
        <w:t xml:space="preserve">The collate_batch function is what turns one raw batch of paired sentences into the final tensors the model actually consumes: tokenize each raw sentence, convert every token to its vocabulary ID, wrap the sequence with the start and end token IDs, pad the result up to a fixed max sequence length (128 here) using the padding token's ID, and finally stack every processed sequence in the batch into one tensor shaped (batch size × max sequence length). This is the same padding-and-masking logic from earlier sessions, just now applied to real, variable-length sentences instead of a hand-built toy example.</w:t>
      </w:r>
    </w:p>
    <w:p>
      <w:pPr>
        <w:pStyle w:val="Heading1"/>
        <w:spacing w:after="160" w:before="320"/>
      </w:pPr>
      <w:r>
        <w:t xml:space="preserve">5. Putting It All Together: Training on the Multi30k Dataset</w:t>
      </w:r>
    </w:p>
    <w:p>
      <w:pPr>
        <w:spacing w:after="200" w:line="300"/>
      </w:pPr>
      <w:r>
        <w:t xml:space="preserve">With the vocabulary and data-loading machinery ready, the notebook loads the Multi30k dataset — roughly 29,000 training pairs, ~1,014 validation pairs, and ~1,000 test pairs, deliberately small so a full run finishes quickly as a first proof of concept, not because it's representative of production scale. Validation runs after every epoch during training specifically to track whether the model is genuinely improving as training proceeds, rather than only checking quality once at the very end.</w:t>
      </w:r>
    </w:p>
    <w:p>
      <w:pPr>
        <w:spacing w:after="200" w:line="300"/>
      </w:pPr>
      <w:r>
        <w:t xml:space="preserve">The notebook also includes scaffolding for multi-GPU training — a distributed sampler (ensuring each GPU in a cluster sees different data rather than duplicating work) and an NCCL-based communication backend for GPU-to-GPU coordination — but all of it stays inactive here, since training ran on a single GPU. It's worth recognizing this code exists and roughly what it's for, even without exercising it yet; a multi-GPU run is planned for once tokenization is finished.</w:t>
      </w:r>
    </w:p>
    <w:p>
      <w:pPr>
        <w:spacing w:after="200" w:line="300"/>
      </w:pPr>
      <w:r>
        <w:t xml:space="preserve">The actual run: 8 epochs, gradient accumulation every 4 steps, throughput around 1,700–1,800 tokens per second, and roughly 3.6GB of GPU memory in use — concrete, observed numbers confirming the full architecture trains in practice, not just on paper.</w:t>
      </w:r>
    </w:p>
    <w:p>
      <w:pPr>
        <w:pStyle w:val="Heading1"/>
        <w:spacing w:after="160" w:before="320"/>
      </w:pPr>
      <w:r>
        <w:t xml:space="preserve">6. Reading the Results: What "Working" Looks Like After 8 Epochs</w:t>
      </w:r>
    </w:p>
    <w:p>
      <w:pPr>
        <w:spacing w:after="200" w:line="300"/>
      </w:pPr>
      <w:r>
        <w:t xml:space="preserve">With a trained model in hand, running greedy decoding against real validation examples produced actual English-to-German-style translations — imperfect, but genuinely functioning. A few patterns worth remembering from reviewing the outputs live: some translations preserved the full meaning with only minor wording differences ("a person with long blue hair standing behind a large crowd of people" came back missing only the word "people" — still clearly correct); others kept several individual words right while scrambling the overall grammar and meaning ("a couple is sitting on a bench talking, while a woman is in the background is a—" trails off incoherently, despite reusing many of the correct words).</w:t>
      </w:r>
    </w:p>
    <w:p>
      <w:pPr>
        <w:pBdr>
          <w:left w:val="single" w:color="8B2E2E" w:sz="24" w:space="8"/>
        </w:pBdr>
        <w:shd w:fill="FBEEE6" w:val="clear"/>
        <w:spacing w:after="60" w:before="160"/>
        <w:ind w:left="100"/>
      </w:pPr>
      <w:r>
        <w:rPr>
          <w:b/>
          <w:bCs/>
          <w:color w:val="8B2E2E"/>
        </w:rPr>
        <w:t xml:space="preserve">⭑ Important — this is exactly BLEU's blind spot from Section 1</w:t>
      </w:r>
    </w:p>
    <w:p>
      <w:pPr>
        <w:pBdr>
          <w:left w:val="single" w:color="8B2E2E" w:sz="24" w:space="8"/>
        </w:pBdr>
        <w:shd w:fill="FBEEE6" w:val="clear"/>
        <w:spacing w:after="220" w:before="0"/>
        <w:ind w:left="100"/>
      </w:pPr>
      <w:r>
        <w:t xml:space="preserve">Both of the outputs above would likely still score reasonably well on BLEU, since BLEU rewards word overlap regardless of whether the resulting sentence is actually coherent or means the right thing — a translation can share most of its words with the correct answer while still being structurally or semantically broken, and BLEU has no way to penalize that specifically. This is precisely why BLEU is described as context-blind: it measures overlap, not understanding, and a genuinely better evaluation of "did the meaning come through correctly" would need a different kind of metric entirely.</w:t>
      </w:r>
    </w:p>
    <w:p>
      <w:pPr>
        <w:spacing w:after="200" w:line="300"/>
      </w:pPr>
      <w:r>
        <w:t xml:space="preserve">Overall, roughly half of the reviewed translations were substantially correct after only 8 epochs on a small dataset — a reasonable starting point, not a finished result. The assigned experiment for this week: train three separate checkpoints (10, 20, and 30 epochs, same architecture, just loaded from different saved weights) and compare both the loss curves and the translation quality across them, to build first-hand intuition for how additional training actually moves the needle — and where it stops helping.</w:t>
      </w:r>
    </w:p>
    <w:p>
      <w:pPr>
        <w:pStyle w:val="Heading1"/>
        <w:spacing w:after="160" w:before="320"/>
      </w:pPr>
      <w:r>
        <w:t xml:space="preserve">7. Closing Notes / What's Next</w:t>
      </w:r>
    </w:p>
    <w:p>
      <w:pPr>
        <w:spacing w:after="200" w:line="300"/>
      </w:pPr>
      <w:r>
        <w:t xml:space="preserve">This closes out the from-scratch "Attention Is All You Need" build entirely — architecture, training loop, real vocabulary, real data, and a working (if imperfect) translation model, run start to finish. Next session moves to a genuinely independent module: tokenization — byte-pair encoding (BPE, the main focus, since it's also what the upcoming from-scratch nanoGPT build will need), WordPiece, and SentencePiece. It's described as considerably easier material, expected to take roughly two classes.</w:t>
      </w:r>
    </w:p>
    <w:p>
      <w:pPr>
        <w:spacing w:after="200" w:line="300"/>
      </w:pPr>
      <w:r>
        <w:t xml:space="preserve">Once tokenization is finished, this same architecture gets upgraded rather than rebuilt from scratch: today's spaCy-based tokenizer gets replaced with BPE, and the dataset scales up from Multi30k to the full WMT dataset used in the original paper — the formal assignment once that module wraps.</w:t>
      </w:r>
    </w:p>
    <w:p>
      <w:pPr>
        <w:spacing w:after="200" w:line="300"/>
      </w:pPr>
      <w:r>
        <w:t xml:space="preserve">Two optional stretch tasks for anyone with extra time this week: refactor the single long notebook into a proper modular Python codebase (AI tools are fair game for this), and integrate Weights &amp; Biases for training-run tracking so results don't have to be read directly out of notebook output. Neither is required — the priority task is the 10/20/30-epoch comparison experiment from Section 6.</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Perplexity</w:t>
            </w:r>
          </w:p>
        </w:tc>
        <w:tc>
          <w:tcPr>
            <w:tcW w:type="dxa" w:w="5800"/>
            <w:tcMar>
              <w:top w:type="dxa" w:w="60"/>
              <w:left w:type="dxa" w:w="100"/>
              <w:bottom w:type="dxa" w:w="60"/>
              <w:right w:type="dxa" w:w="100"/>
            </w:tcMar>
          </w:tcPr>
          <w:p>
            <w:r>
              <w:t xml:space="preserve">Measures a model's predictability; lower is better (more confident, more accurate next-word prediction).</w:t>
            </w:r>
          </w:p>
        </w:tc>
      </w:tr>
      <w:tr>
        <w:tc>
          <w:tcPr>
            <w:tcW w:type="dxa" w:w="3200"/>
            <w:tcMar>
              <w:top w:type="dxa" w:w="60"/>
              <w:left w:type="dxa" w:w="100"/>
              <w:bottom w:type="dxa" w:w="60"/>
              <w:right w:type="dxa" w:w="100"/>
            </w:tcMar>
          </w:tcPr>
          <w:p>
            <w:r>
              <w:t xml:space="preserve">BLEU</w:t>
            </w:r>
          </w:p>
        </w:tc>
        <w:tc>
          <w:tcPr>
            <w:tcW w:type="dxa" w:w="5800"/>
            <w:tcMar>
              <w:top w:type="dxa" w:w="60"/>
              <w:left w:type="dxa" w:w="100"/>
              <w:bottom w:type="dxa" w:w="60"/>
              <w:right w:type="dxa" w:w="100"/>
            </w:tcMar>
          </w:tcPr>
          <w:p>
            <w:r>
              <w:t xml:space="preserve">Machine-translation metric comparing predicted vs. human translation on word-overlap precision and fluency; higher is better; context-blind.</w:t>
            </w:r>
          </w:p>
        </w:tc>
      </w:tr>
      <w:tr>
        <w:tc>
          <w:tcPr>
            <w:tcW w:type="dxa" w:w="3200"/>
            <w:tcMar>
              <w:top w:type="dxa" w:w="60"/>
              <w:left w:type="dxa" w:w="100"/>
              <w:bottom w:type="dxa" w:w="60"/>
              <w:right w:type="dxa" w:w="100"/>
            </w:tcMar>
          </w:tcPr>
          <w:p>
            <w:r>
              <w:t xml:space="preserve">Label smoothing</w:t>
            </w:r>
          </w:p>
        </w:tc>
        <w:tc>
          <w:tcPr>
            <w:tcW w:type="dxa" w:w="5800"/>
            <w:tcMar>
              <w:top w:type="dxa" w:w="60"/>
              <w:left w:type="dxa" w:w="100"/>
              <w:bottom w:type="dxa" w:w="60"/>
              <w:right w:type="dxa" w:w="100"/>
            </w:tcMar>
          </w:tcPr>
          <w:p>
            <w:r>
              <w:t xml:space="preserve">Regularization technique that reduces the correct class's target confidence below 100% and redistributes the rest, preventing overconfidence.</w:t>
            </w:r>
          </w:p>
        </w:tc>
      </w:tr>
      <w:tr>
        <w:tc>
          <w:tcPr>
            <w:tcW w:type="dxa" w:w="3200"/>
            <w:tcMar>
              <w:top w:type="dxa" w:w="60"/>
              <w:left w:type="dxa" w:w="100"/>
              <w:bottom w:type="dxa" w:w="60"/>
              <w:right w:type="dxa" w:w="100"/>
            </w:tcMar>
          </w:tcPr>
          <w:p>
            <w:r>
              <w:t xml:space="preserve">KL-divergence loss</w:t>
            </w:r>
          </w:p>
        </w:tc>
        <w:tc>
          <w:tcPr>
            <w:tcW w:type="dxa" w:w="5800"/>
            <w:tcMar>
              <w:top w:type="dxa" w:w="60"/>
              <w:left w:type="dxa" w:w="100"/>
              <w:bottom w:type="dxa" w:w="60"/>
              <w:right w:type="dxa" w:w="100"/>
            </w:tcMar>
          </w:tcPr>
          <w:p>
            <w:r>
              <w:t xml:space="preserve">Compares two full probability distributions (predicted vs. smoothed ground truth); replaces cross-entropy once targets aren't one-hot.</w:t>
            </w:r>
          </w:p>
        </w:tc>
      </w:tr>
      <w:tr>
        <w:tc>
          <w:tcPr>
            <w:tcW w:type="dxa" w:w="3200"/>
            <w:tcMar>
              <w:top w:type="dxa" w:w="60"/>
              <w:left w:type="dxa" w:w="100"/>
              <w:bottom w:type="dxa" w:w="60"/>
              <w:right w:type="dxa" w:w="100"/>
            </w:tcMar>
          </w:tcPr>
          <w:p>
            <w:r>
              <w:t xml:space="preserve">epsilon_LS</w:t>
            </w:r>
          </w:p>
        </w:tc>
        <w:tc>
          <w:tcPr>
            <w:tcW w:type="dxa" w:w="5800"/>
            <w:tcMar>
              <w:top w:type="dxa" w:w="60"/>
              <w:left w:type="dxa" w:w="100"/>
              <w:bottom w:type="dxa" w:w="60"/>
              <w:right w:type="dxa" w:w="100"/>
            </w:tcMar>
          </w:tcPr>
          <w:p>
            <w:r>
              <w:t xml:space="preserve">The label-smoothing parameter — the fraction of confidence removed from the correct class (0.1 in the paper); keep roughly under 15%.</w:t>
            </w:r>
          </w:p>
        </w:tc>
      </w:tr>
      <w:tr>
        <w:tc>
          <w:tcPr>
            <w:tcW w:type="dxa" w:w="3200"/>
            <w:tcMar>
              <w:top w:type="dxa" w:w="60"/>
              <w:left w:type="dxa" w:w="100"/>
              <w:bottom w:type="dxa" w:w="60"/>
              <w:right w:type="dxa" w:w="100"/>
            </w:tcMar>
          </w:tcPr>
          <w:p>
            <w:r>
              <w:t xml:space="preserve">SimpleLossCompute</w:t>
            </w:r>
          </w:p>
        </w:tc>
        <w:tc>
          <w:tcPr>
            <w:tcW w:type="dxa" w:w="5800"/>
            <w:tcMar>
              <w:top w:type="dxa" w:w="60"/>
              <w:left w:type="dxa" w:w="100"/>
              <w:bottom w:type="dxa" w:w="60"/>
              <w:right w:type="dxa" w:w="100"/>
            </w:tcMar>
          </w:tcPr>
          <w:p>
            <w:r>
              <w:t xml:space="preserve">A callable class wrapping the generator and the label-smoothing criterion into one loss-computation step, reused every batch in run_epoch.</w:t>
            </w:r>
          </w:p>
        </w:tc>
      </w:tr>
      <w:tr>
        <w:tc>
          <w:tcPr>
            <w:tcW w:type="dxa" w:w="3200"/>
            <w:tcMar>
              <w:top w:type="dxa" w:w="60"/>
              <w:left w:type="dxa" w:w="100"/>
              <w:bottom w:type="dxa" w:w="60"/>
              <w:right w:type="dxa" w:w="100"/>
            </w:tcMar>
          </w:tcPr>
          <w:p>
            <w:r>
              <w:t xml:space="preserve">STOI / ITOS</w:t>
            </w:r>
          </w:p>
        </w:tc>
        <w:tc>
          <w:tcPr>
            <w:tcW w:type="dxa" w:w="5800"/>
            <w:tcMar>
              <w:top w:type="dxa" w:w="60"/>
              <w:left w:type="dxa" w:w="100"/>
              <w:bottom w:type="dxa" w:w="60"/>
              <w:right w:type="dxa" w:w="100"/>
            </w:tcMar>
          </w:tcPr>
          <w:p>
            <w:r>
              <w:t xml:space="preserve">String-to-index and index-to-string lookup dictionaries — the two directions needed to move between words and their numeric IDs.</w:t>
            </w:r>
          </w:p>
        </w:tc>
      </w:tr>
      <w:tr>
        <w:tc>
          <w:tcPr>
            <w:tcW w:type="dxa" w:w="3200"/>
            <w:tcMar>
              <w:top w:type="dxa" w:w="60"/>
              <w:left w:type="dxa" w:w="100"/>
              <w:bottom w:type="dxa" w:w="60"/>
              <w:right w:type="dxa" w:w="100"/>
            </w:tcMar>
          </w:tcPr>
          <w:p>
            <w:r>
              <w:t xml:space="preserve">Reserved / special tokens</w:t>
            </w:r>
          </w:p>
        </w:tc>
        <w:tc>
          <w:tcPr>
            <w:tcW w:type="dxa" w:w="5800"/>
            <w:tcMar>
              <w:top w:type="dxa" w:w="60"/>
              <w:left w:type="dxa" w:w="100"/>
              <w:bottom w:type="dxa" w:w="60"/>
              <w:right w:type="dxa" w:w="100"/>
            </w:tcMar>
          </w:tcPr>
          <w:p>
            <w:r>
              <w:t xml:space="preserve">Fixed, hardcoded IDs for start-of-sequence, end-of-sequence, padding/blank, and unknown; always counted inside total vocabulary size.</w:t>
            </w:r>
          </w:p>
        </w:tc>
      </w:tr>
      <w:tr>
        <w:tc>
          <w:tcPr>
            <w:tcW w:type="dxa" w:w="3200"/>
            <w:tcMar>
              <w:top w:type="dxa" w:w="60"/>
              <w:left w:type="dxa" w:w="100"/>
              <w:bottom w:type="dxa" w:w="60"/>
              <w:right w:type="dxa" w:w="100"/>
            </w:tcMar>
          </w:tcPr>
          <w:p>
            <w:r>
              <w:t xml:space="preserve">Counter</w:t>
            </w:r>
          </w:p>
        </w:tc>
        <w:tc>
          <w:tcPr>
            <w:tcW w:type="dxa" w:w="5800"/>
            <w:tcMar>
              <w:top w:type="dxa" w:w="60"/>
              <w:left w:type="dxa" w:w="100"/>
              <w:bottom w:type="dxa" w:w="60"/>
              <w:right w:type="dxa" w:w="100"/>
            </w:tcMar>
          </w:tcPr>
          <w:p>
            <w:r>
              <w:t xml:space="preserve">Standard Python tool used to tally word frequency across the raw dataset when building the vocabulary.</w:t>
            </w:r>
          </w:p>
        </w:tc>
      </w:tr>
      <w:tr>
        <w:tc>
          <w:tcPr>
            <w:tcW w:type="dxa" w:w="3200"/>
            <w:tcMar>
              <w:top w:type="dxa" w:w="60"/>
              <w:left w:type="dxa" w:w="100"/>
              <w:bottom w:type="dxa" w:w="60"/>
              <w:right w:type="dxa" w:w="100"/>
            </w:tcMar>
          </w:tcPr>
          <w:p>
            <w:r>
              <w:t xml:space="preserve">collate_batch</w:t>
            </w:r>
          </w:p>
        </w:tc>
        <w:tc>
          <w:tcPr>
            <w:tcW w:type="dxa" w:w="5800"/>
            <w:tcMar>
              <w:top w:type="dxa" w:w="60"/>
              <w:left w:type="dxa" w:w="100"/>
              <w:bottom w:type="dxa" w:w="60"/>
              <w:right w:type="dxa" w:w="100"/>
            </w:tcMar>
          </w:tcPr>
          <w:p>
            <w:r>
              <w:t xml:space="preserve">Turns one raw batch of sentence pairs into final padded tensors: tokenize, convert to IDs, add start/end tokens, pad, stack.</w:t>
            </w:r>
          </w:p>
        </w:tc>
      </w:tr>
      <w:tr>
        <w:tc>
          <w:tcPr>
            <w:tcW w:type="dxa" w:w="3200"/>
            <w:tcMar>
              <w:top w:type="dxa" w:w="60"/>
              <w:left w:type="dxa" w:w="100"/>
              <w:bottom w:type="dxa" w:w="60"/>
              <w:right w:type="dxa" w:w="100"/>
            </w:tcMar>
          </w:tcPr>
          <w:p>
            <w:r>
              <w:t xml:space="preserve">Distributed sampler / NCCL</w:t>
            </w:r>
          </w:p>
        </w:tc>
        <w:tc>
          <w:tcPr>
            <w:tcW w:type="dxa" w:w="5800"/>
            <w:tcMar>
              <w:top w:type="dxa" w:w="60"/>
              <w:left w:type="dxa" w:w="100"/>
              <w:bottom w:type="dxa" w:w="60"/>
              <w:right w:type="dxa" w:w="100"/>
            </w:tcMar>
          </w:tcPr>
          <w:p>
            <w:r>
              <w:t xml:space="preserve">Multi-GPU training scaffolding (ensuring each GPU sees different data; GPU-to-GPU communication backend); present but inactive on a single GPU.</w:t>
            </w:r>
          </w:p>
        </w:tc>
      </w:tr>
      <w:tr>
        <w:tc>
          <w:tcPr>
            <w:tcW w:type="dxa" w:w="3200"/>
            <w:tcMar>
              <w:top w:type="dxa" w:w="60"/>
              <w:left w:type="dxa" w:w="100"/>
              <w:bottom w:type="dxa" w:w="60"/>
              <w:right w:type="dxa" w:w="100"/>
            </w:tcMar>
          </w:tcPr>
          <w:p>
            <w:r>
              <w:t xml:space="preserve">Multi30k dataset</w:t>
            </w:r>
          </w:p>
        </w:tc>
        <w:tc>
          <w:tcPr>
            <w:tcW w:type="dxa" w:w="5800"/>
            <w:tcMar>
              <w:top w:type="dxa" w:w="60"/>
              <w:left w:type="dxa" w:w="100"/>
              <w:bottom w:type="dxa" w:w="60"/>
              <w:right w:type="dxa" w:w="100"/>
            </w:tcMar>
          </w:tcPr>
          <w:p>
            <w:r>
              <w:t xml:space="preserve">The small (~29k training pairs) English-German dataset used for this first training run, chosen for speed over scale.</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Is N = 6 (the number of encoder/decoder layers) a fixed requirement, or something you're meant to actually test and choose yourself?</w:t>
      </w:r>
    </w:p>
    <w:p>
      <w:pPr>
        <w:spacing w:after="120" w:line="300"/>
      </w:pPr>
      <w:r>
        <w:t xml:space="preserve">A: It's a hyperparameter, not a fixed rule — the paper happened to use 6, so that's what this implementation matches by default, but nothing prevents changing it to 12, 2, or any other value. In practice, deciding a real value means running actual experiments: take a representative subset of your data, train several configurations for a small number of epochs each (3–5 is plenty for this kind of comparison), and watch how quickly the loss drops for each one — a configuration whose loss falls faster in those early epochs is generally the more promising one to invest full training time in. More layers isn't automatically better either: it directly increases compute and training time, and past a certain depth the benefit of adding still more layers shrinks — which is exactly why residual connections exist in the first place, since they're what makes going deeper trainable at all rather than actively harmful.</w:t>
      </w:r>
    </w:p>
    <w:p>
      <w:pPr>
        <w:spacing w:after="80" w:before="200"/>
      </w:pPr>
      <w:r>
        <w:rPr>
          <w:b/>
          <w:bCs/>
          <w:color w:val="8B2E2E"/>
        </w:rPr>
        <w:t xml:space="preserve">Q: Does BLEU account for whether the translated meaning or context is actually correct, or is it purely measuring word overlap?</w:t>
      </w:r>
    </w:p>
    <w:p>
      <w:pPr>
        <w:spacing w:after="120" w:line="300"/>
      </w:pPr>
      <w:r>
        <w:t xml:space="preserve">A: Purely word overlap — BLEU has no mechanism for judging whether the resulting sentence's meaning or context is correct. It's strictly a comparison of what words appear in the predicted output versus the human reference, so a translation can share most of its words with the correct answer while still being grammatically broken or conveying something subtly (or entirely) different, and BLEU has no way to penalize that specifically. Improving actual context quality isn't something a better evaluation metric can fix after the fact — it comes from improving the model itself, particularly the quality of the embeddings and the contextualization self-attention builds on top of them, which is exactly what upcoming upgrades to this architecture are aimed at.</w:t>
      </w:r>
    </w:p>
    <w:p>
      <w:pPr>
        <w:spacing w:after="80" w:before="200"/>
      </w:pPr>
      <w:r>
        <w:rPr>
          <w:b/>
          <w:bCs/>
          <w:color w:val="8B2E2E"/>
        </w:rPr>
        <w:t xml:space="preserve">Q: Can the model's predicted next token actually end up being a padding token — and if so, how is that handled?</w:t>
      </w:r>
    </w:p>
    <w:p>
      <w:pPr>
        <w:spacing w:after="120" w:line="300"/>
      </w:pPr>
      <w:r>
        <w:t xml:space="preserve">A: Yes, and it's a real, expected scenario rather than an edge case to dismiss — once a real sequence has ended (after its end-of-sequence token), whatever "comes next" structurally has to be padding, since the fixed max sequence length still needs to be filled. The label-smoothing code checks specifically for this: wherever the target for a given position actually is the padding token, that entire row's smoothed target distribution gets forced to all zeros rather than smoothed normally, since there's nothing meaningful being predicted there — and a distribution of all zeros contributes nothing to the loss, which is exactly the intended behavior.</w:t>
      </w:r>
    </w:p>
    <w:p>
      <w:pPr>
        <w:spacing w:after="80" w:before="200"/>
      </w:pPr>
      <w:r>
        <w:rPr>
          <w:b/>
          <w:bCs/>
          <w:color w:val="8B2E2E"/>
        </w:rPr>
        <w:t xml:space="preserve">Q: If you're deploying a small language model for a specialized domain (like healthcare or finance), does that require deep architectural customization, or is picking the right starting point enough?</w:t>
      </w:r>
    </w:p>
    <w:p>
      <w:pPr>
        <w:spacing w:after="120" w:line="300"/>
      </w:pPr>
      <w:r>
        <w:t xml:space="preserve">A: Picking the right starting point matters far more than architectural customization in most real cases. If a target domain is highly specialized, the base (foundational) model itself should already be trained on data from that domain — training a general-purpose base model further on a narrow domain like healthcare tends to produce noticeably lower-quality results than starting from a base model that already has real exposure to that kind of data. In practice, this is why domain-specific foundational models exist at all (healthcare-specific, finance-specific, and similar) — picking the closest-matching starting point is generally a bigger lever than anything you'd change about the architecture itself afterward.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2026-08-24T21:46:30.570Z</dcterms:created>
  <dcterms:modified xsi:type="dcterms:W3CDTF">2026-08-24T21:46:30.585Z</dcterms:modified>
</cp:coreProperties>
</file>

<file path=docProps/custom.xml><?xml version="1.0" encoding="utf-8"?>
<Properties xmlns="http://schemas.openxmlformats.org/officeDocument/2006/custom-properties" xmlns:vt="http://schemas.openxmlformats.org/officeDocument/2006/docPropsVTypes"/>
</file>