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8B2E2E"/>
          <w:sz w:val="48"/>
          <w:szCs w:val="48"/>
        </w:rPr>
        <w:t xml:space="preserve">Transformers 101</w:t>
      </w:r>
    </w:p>
    <w:p>
      <w:pPr>
        <w:spacing w:after="60"/>
      </w:pPr>
      <w:r>
        <w:rPr>
          <w:i/>
          <w:iCs/>
          <w:color w:val="555555"/>
          <w:sz w:val="26"/>
          <w:szCs w:val="26"/>
        </w:rPr>
        <w:t xml:space="preserve">Self-study notes — 3 October 2026 (Module 3, Class 2: KV Cache, the Memory Wall, and Multi-Query Attention)</w:t>
      </w:r>
    </w:p>
    <w:p>
      <w:pPr>
        <w:spacing w:after="400"/>
      </w:pPr>
      <w:r>
        <w:rPr>
          <w:color w:val="555555"/>
          <w:sz w:val="22"/>
          <w:szCs w:val="22"/>
        </w:rPr>
        <w:t xml:space="preserve">Why autoregressive decoding wastes work, how the KV cache removes that waste, what the cache costs in GPU memory, and how multi-query attention shrinks it.</w:t>
      </w:r>
    </w:p>
    <w:p>
      <w:pPr>
        <w:pStyle w:val="Heading1"/>
        <w:spacing w:after="160" w:before="320"/>
      </w:pPr>
      <w:r>
        <w:t xml:space="preserve">1. Where This Class Fits: Inference Engineering and the Road to KV Cache</w:t>
      </w:r>
    </w:p>
    <w:p>
      <w:pPr>
        <w:spacing w:after="200" w:line="300"/>
      </w:pPr>
      <w:r>
        <w:t xml:space="preserve">Last week was about training-side work (fine-tuning). This class switches to the inference side: what actually happens inside a model between the moment a prompt arrives and the moment the last token comes back. That body of knowledge is called inference engineering, and its central component is the KV cache. Two companion ideas explain why the cache matters in practice: the memory wall (why a powerful GPU can sit idle waiting for data) and attention variants that redesign multi-head attention to shrink the cache.</w:t>
      </w:r>
    </w:p>
    <w:p>
      <w:pPr>
        <w:spacing w:after="200" w:line="300"/>
      </w:pPr>
      <w:r>
        <w:t xml:space="preserve">The flow is deliberate. You first recap embeddings, scaled dot-product attention, and causal masking, because the KV cache is built directly on top of them — without solid Transformer internals, the cache feels like magic instead of an obvious optimization. Then comes the problem (the same work repeated at every decoding step), the fix (store it), the cost of the fix (memory, calculated by hand), and the first attempt to reduce that cost (multi-query attention). The notebooks use small toy numbers purely to build intuition and are optional to run; doing the calculations by hand matters more than the code.</w:t>
      </w:r>
    </w:p>
    <w:p>
      <w:pPr>
        <w:pStyle w:val="Heading1"/>
        <w:spacing w:after="160" w:before="320"/>
      </w:pPr>
      <w:r>
        <w:t xml:space="preserve">2. Foundations Recap: Attention, the Causal Mask, and Left Padding</w:t>
      </w:r>
    </w:p>
    <w:p>
      <w:pPr>
        <w:spacing w:after="200" w:line="300"/>
      </w:pPr>
      <w:r>
        <w:t xml:space="preserve">Every model input follows the same pipeline: a sentence is split into tokens, tokens are mapped to token IDs, and token IDs are looked up in an embedding table to produce vectors. The toy example used here keeps the embedding dimension at 8 (the original Attention Is All You Need paper used 512) and uses plain IDs 0, 1, 2 for the words in 'the cat sat', with no BPE, WordPiece, or SentencePiece involved. Nothing about these IDs is specific to GPT or BERT; the goal is simply to keep the arithmetic visible.</w:t>
      </w:r>
    </w:p>
    <w:p>
      <w:pPr>
        <w:spacing w:after="200" w:line="300"/>
      </w:pPr>
      <w:r>
        <w:t xml:space="preserve">Scaled dot-product attention computes softmax( Q · K-transpose / √d_k ) · V. Each query is scored against every key, the scores are scaled by the square root of the key dimension, softmax turns them into weights, and those weights are used to take a weighted sum of the values. This formula must be second nature, because everything later in the class either reuses it unchanged or modifies the shapes of its inputs.</w:t>
      </w:r>
    </w:p>
    <w:p>
      <w:pPr>
        <w:spacing w:after="200" w:line="300"/>
      </w:pPr>
      <w:r>
        <w:t xml:space="preserve">The causal mask lives on the decoder side, in masked multi-head attention (the mechanism behind causal language modeling). A mask matrix is applied on top of the attention scores with minus infinity in every blocked position; because softmax of minus infinity is zero, those positions receive exactly zero attention weight. The practical rule is simple: a query at position i can attend to keys at positions up to and including i — itself and the past — and never to the future. A query at position 4 can look at keys 4, 3, 2, 1, and 0; a query at position 0 can look only at key 0.</w:t>
      </w:r>
    </w:p>
    <w:p>
      <w:pPr>
        <w:spacing w:after="200" w:line="300"/>
      </w:pPr>
      <w:r>
        <w:t xml:space="preserve">Decoders are padded on the left, always. Generation continues from the right-hand edge of the sequence, so the real tokens have to sit flush against that edge, and padding on the right would leave pad tokens in the position where the next token must be predicted. Encoders such as BERT follow the opposite convention and pad on the right, which is why the choice of padding side is something to set deliberately for decoder-style models rather than leave at its default.</w:t>
      </w:r>
    </w:p>
    <w:p>
      <w:pPr>
        <w:pStyle w:val="Heading1"/>
        <w:spacing w:after="160" w:before="320"/>
      </w:pPr>
      <w:r>
        <w:t xml:space="preserve">3. Autoregressive Generation: One Token at a Time</w:t>
      </w:r>
    </w:p>
    <w:p>
      <w:pPr>
        <w:spacing w:after="200" w:line="300"/>
      </w:pPr>
      <w:r>
        <w:t xml:space="preserve">Because of the causal mask, a decoder generates exactly one token per step: it predicts the next token from everything before it, appends that token to the sequence, and repeats. Decoding is therefore inherently sequential — step t+1 cannot start until step t has finished — and this loop is the central bottleneck of LLM serving. A rough figure for modern models is about 20 to 40 milliseconds per generated token, although the exact number varies widely with the model and hardware.</w:t>
      </w:r>
    </w:p>
    <w:p>
      <w:pPr>
        <w:spacing w:after="200" w:line="300"/>
      </w:pPr>
      <w:r>
        <w:t xml:space="preserve">The loop stops when it reaches the maximum number of new tokens you set (max_new_tokens), or when the model emits an end-of-sequence token. Don't confuse this with top-k or top-p, which are sampling controls that decide how the next token is chosen from the model's probability distribution, not when generation ends. Sequence-marker tokens also matter here: decoder-style models mark the start of a sequence with a beginning-of-sequence (BOS) token, BERT-style encoders use a CLS token for a similar role, and neither should be swapped for padding, since padding adds no information about where a sequence starts or ends.</w:t>
      </w:r>
    </w:p>
    <w:p>
      <w:pPr>
        <w:pStyle w:val="Heading1"/>
        <w:spacing w:after="160" w:before="320"/>
      </w:pPr>
      <w:r>
        <w:t xml:space="preserve">4. The Recomputation Problem (Naive Decoding)</w:t>
      </w:r>
    </w:p>
    <w:p>
      <w:pPr>
        <w:spacing w:after="200" w:line="300"/>
      </w:pPr>
      <w:r>
        <w:t xml:space="preserve">Take the sequence 'BOS The capital of France' and generate it one token at a time. At the first step, the model needs K and V for BOS. At the second step the sequence is BOS plus 'The', so K and V are computed for BOS again and then for 'The'. At the third step BOS and 'The' are recomputed yet again, plus 'capital'. Every token, including special tokens such as BOS, has its own K and V, and every step recomputes all of them from scratch.</w:t>
      </w:r>
    </w:p>
    <w:tbl>
      <w:tblPr>
        <w:tblW w:type="dxa" w:w="9000"/>
        <w:tblBorders>
          <w:top w:val="single" w:color="C9BBAE" w:sz="4"/>
          <w:left w:val="single" w:color="C9BBAE" w:sz="4"/>
          <w:bottom w:val="single" w:color="C9BBAE" w:sz="4"/>
          <w:right w:val="single" w:color="C9BBAE" w:sz="4"/>
          <w:insideH w:val="single" w:color="C9BBAE" w:sz="4"/>
          <w:insideV w:val="single" w:color="C9BBAE" w:sz="4"/>
        </w:tblBorders>
      </w:tblPr>
      <w:tblGrid>
        <w:gridCol w:w="900"/>
        <w:gridCol w:w="3900"/>
        <w:gridCol w:w="2100"/>
        <w:gridCol w:w="2100"/>
      </w:tblGrid>
      <w:tr>
        <w:trPr>
          <w:tblHeader/>
        </w:trPr>
        <w:tc>
          <w:tcPr>
            <w:tcW w:type="dxa" w:w="900"/>
            <w:shd w:fill="EDE3DA" w:val="clear"/>
            <w:tcMar>
              <w:top w:type="dxa" w:w="80"/>
              <w:left w:type="dxa" w:w="100"/>
              <w:bottom w:type="dxa" w:w="80"/>
              <w:right w:type="dxa" w:w="100"/>
            </w:tcMar>
          </w:tcPr>
          <w:p>
            <w:r>
              <w:rPr>
                <w:b/>
                <w:bCs/>
              </w:rPr>
              <w:t xml:space="preserve">Step</w:t>
            </w:r>
          </w:p>
        </w:tc>
        <w:tc>
          <w:tcPr>
            <w:tcW w:type="dxa" w:w="3900"/>
            <w:shd w:fill="EDE3DA" w:val="clear"/>
            <w:tcMar>
              <w:top w:type="dxa" w:w="80"/>
              <w:left w:type="dxa" w:w="100"/>
              <w:bottom w:type="dxa" w:w="80"/>
              <w:right w:type="dxa" w:w="100"/>
            </w:tcMar>
          </w:tcPr>
          <w:p>
            <w:r>
              <w:rPr>
                <w:b/>
                <w:bCs/>
              </w:rPr>
              <w:t xml:space="preserve">Sequence fed to the model</w:t>
            </w:r>
          </w:p>
        </w:tc>
        <w:tc>
          <w:tcPr>
            <w:tcW w:type="dxa" w:w="2100"/>
            <w:shd w:fill="EDE3DA" w:val="clear"/>
            <w:tcMar>
              <w:top w:type="dxa" w:w="80"/>
              <w:left w:type="dxa" w:w="100"/>
              <w:bottom w:type="dxa" w:w="80"/>
              <w:right w:type="dxa" w:w="100"/>
            </w:tcMar>
          </w:tcPr>
          <w:p>
            <w:r>
              <w:rPr>
                <w:b/>
                <w:bCs/>
              </w:rPr>
              <w:t xml:space="preserve">K and V computed</w:t>
            </w:r>
          </w:p>
        </w:tc>
        <w:tc>
          <w:tcPr>
            <w:tcW w:type="dxa" w:w="2100"/>
            <w:shd w:fill="EDE3DA" w:val="clear"/>
            <w:tcMar>
              <w:top w:type="dxa" w:w="80"/>
              <w:left w:type="dxa" w:w="100"/>
              <w:bottom w:type="dxa" w:w="80"/>
              <w:right w:type="dxa" w:w="100"/>
            </w:tcMar>
          </w:tcPr>
          <w:p>
            <w:r>
              <w:rPr>
                <w:b/>
                <w:bCs/>
              </w:rPr>
              <w:t xml:space="preserve">Already computed before</w:t>
            </w:r>
          </w:p>
        </w:tc>
      </w:tr>
      <w:tr>
        <w:trPr>
          <w:cantSplit/>
        </w:trPr>
        <w:tc>
          <w:tcPr>
            <w:tcW w:type="dxa" w:w="900"/>
            <w:tcMar>
              <w:top w:type="dxa" w:w="60"/>
              <w:left w:type="dxa" w:w="100"/>
              <w:bottom w:type="dxa" w:w="60"/>
              <w:right w:type="dxa" w:w="100"/>
            </w:tcMar>
          </w:tcPr>
          <w:p>
            <w:r>
              <w:t xml:space="preserve">1</w:t>
            </w:r>
          </w:p>
        </w:tc>
        <w:tc>
          <w:tcPr>
            <w:tcW w:type="dxa" w:w="3900"/>
            <w:tcMar>
              <w:top w:type="dxa" w:w="60"/>
              <w:left w:type="dxa" w:w="100"/>
              <w:bottom w:type="dxa" w:w="60"/>
              <w:right w:type="dxa" w:w="100"/>
            </w:tcMar>
          </w:tcPr>
          <w:p>
            <w:r>
              <w:t xml:space="preserve">BOS</w:t>
            </w:r>
          </w:p>
        </w:tc>
        <w:tc>
          <w:tcPr>
            <w:tcW w:type="dxa" w:w="2100"/>
            <w:tcMar>
              <w:top w:type="dxa" w:w="60"/>
              <w:left w:type="dxa" w:w="100"/>
              <w:bottom w:type="dxa" w:w="60"/>
              <w:right w:type="dxa" w:w="100"/>
            </w:tcMar>
          </w:tcPr>
          <w:p>
            <w:r>
              <w:t xml:space="preserve">1</w:t>
            </w:r>
          </w:p>
        </w:tc>
        <w:tc>
          <w:tcPr>
            <w:tcW w:type="dxa" w:w="2100"/>
            <w:tcMar>
              <w:top w:type="dxa" w:w="60"/>
              <w:left w:type="dxa" w:w="100"/>
              <w:bottom w:type="dxa" w:w="60"/>
              <w:right w:type="dxa" w:w="100"/>
            </w:tcMar>
          </w:tcPr>
          <w:p>
            <w:r>
              <w:t xml:space="preserve">0</w:t>
            </w:r>
          </w:p>
        </w:tc>
      </w:tr>
      <w:tr>
        <w:trPr>
          <w:cantSplit/>
        </w:trPr>
        <w:tc>
          <w:tcPr>
            <w:tcW w:type="dxa" w:w="900"/>
            <w:tcMar>
              <w:top w:type="dxa" w:w="60"/>
              <w:left w:type="dxa" w:w="100"/>
              <w:bottom w:type="dxa" w:w="60"/>
              <w:right w:type="dxa" w:w="100"/>
            </w:tcMar>
          </w:tcPr>
          <w:p>
            <w:r>
              <w:t xml:space="preserve">2</w:t>
            </w:r>
          </w:p>
        </w:tc>
        <w:tc>
          <w:tcPr>
            <w:tcW w:type="dxa" w:w="3900"/>
            <w:tcMar>
              <w:top w:type="dxa" w:w="60"/>
              <w:left w:type="dxa" w:w="100"/>
              <w:bottom w:type="dxa" w:w="60"/>
              <w:right w:type="dxa" w:w="100"/>
            </w:tcMar>
          </w:tcPr>
          <w:p>
            <w:r>
              <w:t xml:space="preserve">BOS The</w:t>
            </w:r>
          </w:p>
        </w:tc>
        <w:tc>
          <w:tcPr>
            <w:tcW w:type="dxa" w:w="2100"/>
            <w:tcMar>
              <w:top w:type="dxa" w:w="60"/>
              <w:left w:type="dxa" w:w="100"/>
              <w:bottom w:type="dxa" w:w="60"/>
              <w:right w:type="dxa" w:w="100"/>
            </w:tcMar>
          </w:tcPr>
          <w:p>
            <w:r>
              <w:t xml:space="preserve">2</w:t>
            </w:r>
          </w:p>
        </w:tc>
        <w:tc>
          <w:tcPr>
            <w:tcW w:type="dxa" w:w="2100"/>
            <w:tcMar>
              <w:top w:type="dxa" w:w="60"/>
              <w:left w:type="dxa" w:w="100"/>
              <w:bottom w:type="dxa" w:w="60"/>
              <w:right w:type="dxa" w:w="100"/>
            </w:tcMar>
          </w:tcPr>
          <w:p>
            <w:r>
              <w:t xml:space="preserve">1</w:t>
            </w:r>
          </w:p>
        </w:tc>
      </w:tr>
      <w:tr>
        <w:trPr>
          <w:cantSplit/>
        </w:trPr>
        <w:tc>
          <w:tcPr>
            <w:tcW w:type="dxa" w:w="900"/>
            <w:tcMar>
              <w:top w:type="dxa" w:w="60"/>
              <w:left w:type="dxa" w:w="100"/>
              <w:bottom w:type="dxa" w:w="60"/>
              <w:right w:type="dxa" w:w="100"/>
            </w:tcMar>
          </w:tcPr>
          <w:p>
            <w:r>
              <w:t xml:space="preserve">3</w:t>
            </w:r>
          </w:p>
        </w:tc>
        <w:tc>
          <w:tcPr>
            <w:tcW w:type="dxa" w:w="3900"/>
            <w:tcMar>
              <w:top w:type="dxa" w:w="60"/>
              <w:left w:type="dxa" w:w="100"/>
              <w:bottom w:type="dxa" w:w="60"/>
              <w:right w:type="dxa" w:w="100"/>
            </w:tcMar>
          </w:tcPr>
          <w:p>
            <w:r>
              <w:t xml:space="preserve">BOS The capital</w:t>
            </w:r>
          </w:p>
        </w:tc>
        <w:tc>
          <w:tcPr>
            <w:tcW w:type="dxa" w:w="2100"/>
            <w:tcMar>
              <w:top w:type="dxa" w:w="60"/>
              <w:left w:type="dxa" w:w="100"/>
              <w:bottom w:type="dxa" w:w="60"/>
              <w:right w:type="dxa" w:w="100"/>
            </w:tcMar>
          </w:tcPr>
          <w:p>
            <w:r>
              <w:t xml:space="preserve">3</w:t>
            </w:r>
          </w:p>
        </w:tc>
        <w:tc>
          <w:tcPr>
            <w:tcW w:type="dxa" w:w="2100"/>
            <w:tcMar>
              <w:top w:type="dxa" w:w="60"/>
              <w:left w:type="dxa" w:w="100"/>
              <w:bottom w:type="dxa" w:w="60"/>
              <w:right w:type="dxa" w:w="100"/>
            </w:tcMar>
          </w:tcPr>
          <w:p>
            <w:r>
              <w:t xml:space="preserve">2</w:t>
            </w:r>
          </w:p>
        </w:tc>
      </w:tr>
      <w:tr>
        <w:trPr>
          <w:cantSplit/>
        </w:trPr>
        <w:tc>
          <w:tcPr>
            <w:tcW w:type="dxa" w:w="900"/>
            <w:tcMar>
              <w:top w:type="dxa" w:w="60"/>
              <w:left w:type="dxa" w:w="100"/>
              <w:bottom w:type="dxa" w:w="60"/>
              <w:right w:type="dxa" w:w="100"/>
            </w:tcMar>
          </w:tcPr>
          <w:p>
            <w:r>
              <w:t xml:space="preserve">4</w:t>
            </w:r>
          </w:p>
        </w:tc>
        <w:tc>
          <w:tcPr>
            <w:tcW w:type="dxa" w:w="3900"/>
            <w:tcMar>
              <w:top w:type="dxa" w:w="60"/>
              <w:left w:type="dxa" w:w="100"/>
              <w:bottom w:type="dxa" w:w="60"/>
              <w:right w:type="dxa" w:w="100"/>
            </w:tcMar>
          </w:tcPr>
          <w:p>
            <w:r>
              <w:t xml:space="preserve">BOS The capital of</w:t>
            </w:r>
          </w:p>
        </w:tc>
        <w:tc>
          <w:tcPr>
            <w:tcW w:type="dxa" w:w="2100"/>
            <w:tcMar>
              <w:top w:type="dxa" w:w="60"/>
              <w:left w:type="dxa" w:w="100"/>
              <w:bottom w:type="dxa" w:w="60"/>
              <w:right w:type="dxa" w:w="100"/>
            </w:tcMar>
          </w:tcPr>
          <w:p>
            <w:r>
              <w:t xml:space="preserve">4</w:t>
            </w:r>
          </w:p>
        </w:tc>
        <w:tc>
          <w:tcPr>
            <w:tcW w:type="dxa" w:w="2100"/>
            <w:tcMar>
              <w:top w:type="dxa" w:w="60"/>
              <w:left w:type="dxa" w:w="100"/>
              <w:bottom w:type="dxa" w:w="60"/>
              <w:right w:type="dxa" w:w="100"/>
            </w:tcMar>
          </w:tcPr>
          <w:p>
            <w:r>
              <w:t xml:space="preserve">3</w:t>
            </w:r>
          </w:p>
        </w:tc>
      </w:tr>
      <w:tr>
        <w:trPr>
          <w:cantSplit/>
        </w:trPr>
        <w:tc>
          <w:tcPr>
            <w:tcW w:type="dxa" w:w="900"/>
            <w:tcMar>
              <w:top w:type="dxa" w:w="60"/>
              <w:left w:type="dxa" w:w="100"/>
              <w:bottom w:type="dxa" w:w="60"/>
              <w:right w:type="dxa" w:w="100"/>
            </w:tcMar>
          </w:tcPr>
          <w:p>
            <w:r>
              <w:t xml:space="preserve">5</w:t>
            </w:r>
          </w:p>
        </w:tc>
        <w:tc>
          <w:tcPr>
            <w:tcW w:type="dxa" w:w="3900"/>
            <w:tcMar>
              <w:top w:type="dxa" w:w="60"/>
              <w:left w:type="dxa" w:w="100"/>
              <w:bottom w:type="dxa" w:w="60"/>
              <w:right w:type="dxa" w:w="100"/>
            </w:tcMar>
          </w:tcPr>
          <w:p>
            <w:r>
              <w:t xml:space="preserve">BOS The capital of France</w:t>
            </w:r>
          </w:p>
        </w:tc>
        <w:tc>
          <w:tcPr>
            <w:tcW w:type="dxa" w:w="2100"/>
            <w:tcMar>
              <w:top w:type="dxa" w:w="60"/>
              <w:left w:type="dxa" w:w="100"/>
              <w:bottom w:type="dxa" w:w="60"/>
              <w:right w:type="dxa" w:w="100"/>
            </w:tcMar>
          </w:tcPr>
          <w:p>
            <w:r>
              <w:t xml:space="preserve">5</w:t>
            </w:r>
          </w:p>
        </w:tc>
        <w:tc>
          <w:tcPr>
            <w:tcW w:type="dxa" w:w="2100"/>
            <w:tcMar>
              <w:top w:type="dxa" w:w="60"/>
              <w:left w:type="dxa" w:w="100"/>
              <w:bottom w:type="dxa" w:w="60"/>
              <w:right w:type="dxa" w:w="100"/>
            </w:tcMar>
          </w:tcPr>
          <w:p>
            <w:r>
              <w:t xml:space="preserve">4</w:t>
            </w:r>
          </w:p>
        </w:tc>
      </w:tr>
    </w:tbl>
    <w:p>
      <w:pPr>
        <w:spacing w:after="100"/>
      </w:pPr>
    </w:p>
    <w:p>
      <w:pPr>
        <w:spacing w:after="200" w:line="300"/>
      </w:pPr>
      <w:r>
        <w:t xml:space="preserve">The crucial observation is in the last column. Because of the causal mask, a token's K and V depend only on that token and the tokens before it, so once computed they can never change as new tokens arrive. Yet the naive approach, called naive decoding, recomputes them at every step. K and V are produced inside multi-head attention (specifically its scaled dot-product attention) in every block, and this applies wherever attention exists, in an encoder just as in a decoder.</w:t>
      </w:r>
    </w:p>
    <w:p>
      <w:pPr>
        <w:spacing w:after="200" w:line="300"/>
      </w:pPr>
      <w:r>
        <w:t xml:space="preserve">Scale the example up to a 1,000-token sequence and the waste becomes obvious: the first token's K and V get recomputed roughly 999 times, the second token's roughly 998 times, and so on. A small notebook demonstrates the same effect with a vocabulary of 50, a model dimension of 32, a 4-token prompt, and 8 new tokens (12 in total). The number of tokens whose K and V get recomputed rises 4, 5, 6, and so on, because each step adds exactly one genuinely new K and V pair while everything older is identical to the previous step.</w:t>
      </w:r>
    </w:p>
    <w:p>
      <w:pPr>
        <w:spacing w:after="200" w:line="300"/>
      </w:pPr>
      <w:r>
        <w:t xml:space="preserve">Why does the architecture work this way? Because that is how attention was defined in 2017: each step runs attention over the whole sequence. The original paper did hold K and V in memory manually, but it never called this a KV cache; the term only became widely used about three years later. With 10 generated tokens this waste hardly matters, but as context windows grow it becomes a serious problem, which is why the cost needs to be quantified.</w:t>
      </w:r>
    </w:p>
    <w:p>
      <w:pPr>
        <w:spacing w:after="200" w:line="300"/>
      </w:pPr>
      <w:r>
        <w:t xml:space="preserve">Across a full generation of n tokens, the total number of K and V computations without any cache is 1 + 2 + … + n = n(n+1)/2. That is quadratic growth (steep, though not exponential), whereas the real amount of new information is only n. The gap widens quickly as outputs get longer.</w:t>
      </w:r>
    </w:p>
    <w:tbl>
      <w:tblPr>
        <w:tblW w:type="dxa" w:w="9000"/>
        <w:tblBorders>
          <w:top w:val="single" w:color="C9BBAE" w:sz="4"/>
          <w:left w:val="single" w:color="C9BBAE" w:sz="4"/>
          <w:bottom w:val="single" w:color="C9BBAE" w:sz="4"/>
          <w:right w:val="single" w:color="C9BBAE" w:sz="4"/>
          <w:insideH w:val="single" w:color="C9BBAE" w:sz="4"/>
          <w:insideV w:val="single" w:color="C9BBAE" w:sz="4"/>
        </w:tblBorders>
      </w:tblPr>
      <w:tblGrid>
        <w:gridCol w:w="2400"/>
        <w:gridCol w:w="3300"/>
        <w:gridCol w:w="3300"/>
      </w:tblGrid>
      <w:tr>
        <w:trPr>
          <w:tblHeader/>
        </w:trPr>
        <w:tc>
          <w:tcPr>
            <w:tcW w:type="dxa" w:w="2400"/>
            <w:shd w:fill="EDE3DA" w:val="clear"/>
            <w:tcMar>
              <w:top w:type="dxa" w:w="80"/>
              <w:left w:type="dxa" w:w="100"/>
              <w:bottom w:type="dxa" w:w="80"/>
              <w:right w:type="dxa" w:w="100"/>
            </w:tcMar>
          </w:tcPr>
          <w:p>
            <w:r>
              <w:rPr>
                <w:b/>
                <w:bCs/>
              </w:rPr>
              <w:t xml:space="preserve">Tokens generated (n)</w:t>
            </w:r>
          </w:p>
        </w:tc>
        <w:tc>
          <w:tcPr>
            <w:tcW w:type="dxa" w:w="3300"/>
            <w:shd w:fill="EDE3DA" w:val="clear"/>
            <w:tcMar>
              <w:top w:type="dxa" w:w="80"/>
              <w:left w:type="dxa" w:w="100"/>
              <w:bottom w:type="dxa" w:w="80"/>
              <w:right w:type="dxa" w:w="100"/>
            </w:tcMar>
          </w:tcPr>
          <w:p>
            <w:r>
              <w:rPr>
                <w:b/>
                <w:bCs/>
              </w:rPr>
              <w:t xml:space="preserve">Without a cache: n(n+1)/2</w:t>
            </w:r>
          </w:p>
        </w:tc>
        <w:tc>
          <w:tcPr>
            <w:tcW w:type="dxa" w:w="3300"/>
            <w:shd w:fill="EDE3DA" w:val="clear"/>
            <w:tcMar>
              <w:top w:type="dxa" w:w="80"/>
              <w:left w:type="dxa" w:w="100"/>
              <w:bottom w:type="dxa" w:w="80"/>
              <w:right w:type="dxa" w:w="100"/>
            </w:tcMar>
          </w:tcPr>
          <w:p>
            <w:r>
              <w:rPr>
                <w:b/>
                <w:bCs/>
              </w:rPr>
              <w:t xml:space="preserve">With a cache: one new K and V per token</w:t>
            </w:r>
          </w:p>
        </w:tc>
      </w:tr>
      <w:tr>
        <w:trPr>
          <w:cantSplit/>
        </w:trPr>
        <w:tc>
          <w:tcPr>
            <w:tcW w:type="dxa" w:w="2400"/>
            <w:tcMar>
              <w:top w:type="dxa" w:w="60"/>
              <w:left w:type="dxa" w:w="100"/>
              <w:bottom w:type="dxa" w:w="60"/>
              <w:right w:type="dxa" w:w="100"/>
            </w:tcMar>
          </w:tcPr>
          <w:p>
            <w:r>
              <w:t xml:space="preserve">8</w:t>
            </w:r>
          </w:p>
        </w:tc>
        <w:tc>
          <w:tcPr>
            <w:tcW w:type="dxa" w:w="3300"/>
            <w:tcMar>
              <w:top w:type="dxa" w:w="60"/>
              <w:left w:type="dxa" w:w="100"/>
              <w:bottom w:type="dxa" w:w="60"/>
              <w:right w:type="dxa" w:w="100"/>
            </w:tcMar>
          </w:tcPr>
          <w:p>
            <w:r>
              <w:t xml:space="preserve">36</w:t>
            </w:r>
          </w:p>
        </w:tc>
        <w:tc>
          <w:tcPr>
            <w:tcW w:type="dxa" w:w="3300"/>
            <w:tcMar>
              <w:top w:type="dxa" w:w="60"/>
              <w:left w:type="dxa" w:w="100"/>
              <w:bottom w:type="dxa" w:w="60"/>
              <w:right w:type="dxa" w:w="100"/>
            </w:tcMar>
          </w:tcPr>
          <w:p>
            <w:r>
              <w:t xml:space="preserve">8</w:t>
            </w:r>
          </w:p>
        </w:tc>
      </w:tr>
      <w:tr>
        <w:trPr>
          <w:cantSplit/>
        </w:trPr>
        <w:tc>
          <w:tcPr>
            <w:tcW w:type="dxa" w:w="2400"/>
            <w:tcMar>
              <w:top w:type="dxa" w:w="60"/>
              <w:left w:type="dxa" w:w="100"/>
              <w:bottom w:type="dxa" w:w="60"/>
              <w:right w:type="dxa" w:w="100"/>
            </w:tcMar>
          </w:tcPr>
          <w:p>
            <w:r>
              <w:t xml:space="preserve">32</w:t>
            </w:r>
          </w:p>
        </w:tc>
        <w:tc>
          <w:tcPr>
            <w:tcW w:type="dxa" w:w="3300"/>
            <w:tcMar>
              <w:top w:type="dxa" w:w="60"/>
              <w:left w:type="dxa" w:w="100"/>
              <w:bottom w:type="dxa" w:w="60"/>
              <w:right w:type="dxa" w:w="100"/>
            </w:tcMar>
          </w:tcPr>
          <w:p>
            <w:r>
              <w:t xml:space="preserve">528</w:t>
            </w:r>
          </w:p>
        </w:tc>
        <w:tc>
          <w:tcPr>
            <w:tcW w:type="dxa" w:w="3300"/>
            <w:tcMar>
              <w:top w:type="dxa" w:w="60"/>
              <w:left w:type="dxa" w:w="100"/>
              <w:bottom w:type="dxa" w:w="60"/>
              <w:right w:type="dxa" w:w="100"/>
            </w:tcMar>
          </w:tcPr>
          <w:p>
            <w:r>
              <w:t xml:space="preserve">32</w:t>
            </w:r>
          </w:p>
        </w:tc>
      </w:tr>
      <w:tr>
        <w:trPr>
          <w:cantSplit/>
        </w:trPr>
        <w:tc>
          <w:tcPr>
            <w:tcW w:type="dxa" w:w="2400"/>
            <w:tcMar>
              <w:top w:type="dxa" w:w="60"/>
              <w:left w:type="dxa" w:w="100"/>
              <w:bottom w:type="dxa" w:w="60"/>
              <w:right w:type="dxa" w:w="100"/>
            </w:tcMar>
          </w:tcPr>
          <w:p>
            <w:r>
              <w:t xml:space="preserve">128</w:t>
            </w:r>
          </w:p>
        </w:tc>
        <w:tc>
          <w:tcPr>
            <w:tcW w:type="dxa" w:w="3300"/>
            <w:tcMar>
              <w:top w:type="dxa" w:w="60"/>
              <w:left w:type="dxa" w:w="100"/>
              <w:bottom w:type="dxa" w:w="60"/>
              <w:right w:type="dxa" w:w="100"/>
            </w:tcMar>
          </w:tcPr>
          <w:p>
            <w:r>
              <w:t xml:space="preserve">8,256</w:t>
            </w:r>
          </w:p>
        </w:tc>
        <w:tc>
          <w:tcPr>
            <w:tcW w:type="dxa" w:w="3300"/>
            <w:tcMar>
              <w:top w:type="dxa" w:w="60"/>
              <w:left w:type="dxa" w:w="100"/>
              <w:bottom w:type="dxa" w:w="60"/>
              <w:right w:type="dxa" w:w="100"/>
            </w:tcMar>
          </w:tcPr>
          <w:p>
            <w:r>
              <w:t xml:space="preserve">128</w:t>
            </w:r>
          </w:p>
        </w:tc>
      </w:tr>
    </w:tbl>
    <w:p>
      <w:pPr>
        <w:spacing w:after="100"/>
      </w:pPr>
    </w:p>
    <w:p>
      <w:pPr>
        <w:pStyle w:val="Heading1"/>
        <w:spacing w:after="160" w:before="320"/>
      </w:pPr>
      <w:r>
        <w:t xml:space="preserve">5. The Fix: Caching K and V</w:t>
      </w:r>
    </w:p>
    <w:p>
      <w:pPr>
        <w:spacing w:after="200" w:line="300"/>
      </w:pPr>
      <w:r>
        <w:t xml:space="preserve">If the K and V for earlier tokens never change, there is no reason to recompute them. Save each token's K and V the first time they are computed, and at every later step compute K and V only for the single new token, reading everything else from memory. That memory is the KV cache, and it turns the total work from quadratic into linear, because every token's K and V are computed exactly once.</w:t>
      </w:r>
    </w:p>
    <w:p>
      <w:pPr>
        <w:spacing w:after="200" w:line="300"/>
      </w:pPr>
      <w:r>
        <w:t xml:space="preserve">Only K and V are stored — never Q, and never the attention outputs. A new token's query is used exactly once, at the moment its own token is processed, to look back over all the stored keys and values. Past queries are never needed again, so there is nothing worth saving. In other words, a query always looks into stored K and V; queries do not look at other queries. The cache itself sits in GPU memory (VRAM), a detail that matters a great deal shortly.</w:t>
      </w:r>
    </w:p>
    <w:p>
      <w:pPr>
        <w:pBdr>
          <w:left w:val="single" w:color="8B2E2E" w:sz="24" w:space="8"/>
        </w:pBdr>
        <w:shd w:fill="FBEEE6" w:val="clear"/>
        <w:spacing w:after="60" w:before="160"/>
        <w:ind w:left="100"/>
      </w:pPr>
      <w:r>
        <w:rPr>
          <w:b/>
          <w:bCs/>
          <w:color w:val="8B2E2E"/>
        </w:rPr>
        <w:t xml:space="preserve">⭑ Important — Recomputing unchanging K and V is the problem — cache them, and only them</w:t>
      </w:r>
    </w:p>
    <w:p>
      <w:pPr>
        <w:pBdr>
          <w:left w:val="single" w:color="8B2E2E" w:sz="24" w:space="8"/>
        </w:pBdr>
        <w:shd w:fill="FBEEE6" w:val="clear"/>
        <w:spacing w:after="220" w:before="0"/>
        <w:ind w:left="100"/>
      </w:pPr>
      <w:r>
        <w:t xml:space="preserve">At every decoding step the naive approach recomputes K and V for every token already in the sequence, even though the causal mask guarantees those values can never change once computed; over a full generation that waste grows as n(n+1)/2 instead of n. The KV cache removes it by storing each token's keys and values once. Store K and V only: a query is used a single time, when its own token is processed, so queries and attention outputs are never worth saving. This is also purely an inference-time mechanism. During training, K and V for all positions are computed in parallel in one pass and nothing needs to be kept, so everything in this class (the cache, its memory cost, and its management) applies to inference only.</w:t>
      </w:r>
    </w:p>
    <w:p>
      <w:pPr>
        <w:pStyle w:val="Heading1"/>
        <w:spacing w:after="160" w:before="320"/>
      </w:pPr>
      <w:r>
        <w:t xml:space="preserve">6. Inference in Two Phases: Prefill and Decode</w:t>
      </w:r>
    </w:p>
    <w:p>
      <w:pPr>
        <w:spacing w:after="200" w:line="300"/>
      </w:pPr>
      <w:r>
        <w:t xml:space="preserve">Inference simply means prediction with an already-trained model, and every request goes through two phases in a fixed order. In prefill, the prompt is processed: K and V are computed for every prompt token and stored in the KV cache. In decode, the response is generated one token at a time, each step reading the cache and adding one new K and V pair.</w:t>
      </w:r>
    </w:p>
    <w:tbl>
      <w:tblPr>
        <w:tblW w:type="dxa" w:w="9000"/>
        <w:tblBorders>
          <w:top w:val="single" w:color="C9BBAE" w:sz="4"/>
          <w:left w:val="single" w:color="C9BBAE" w:sz="4"/>
          <w:bottom w:val="single" w:color="C9BBAE" w:sz="4"/>
          <w:right w:val="single" w:color="C9BBAE" w:sz="4"/>
          <w:insideH w:val="single" w:color="C9BBAE" w:sz="4"/>
          <w:insideV w:val="single" w:color="C9BBAE" w:sz="4"/>
        </w:tblBorders>
      </w:tblPr>
      <w:tblGrid>
        <w:gridCol w:w="2000"/>
        <w:gridCol w:w="3500"/>
        <w:gridCol w:w="3500"/>
      </w:tblGrid>
      <w:tr>
        <w:trPr>
          <w:tblHeader/>
        </w:trPr>
        <w:tc>
          <w:tcPr>
            <w:tcW w:type="dxa" w:w="2000"/>
            <w:shd w:fill="EDE3DA" w:val="clear"/>
            <w:tcMar>
              <w:top w:type="dxa" w:w="80"/>
              <w:left w:type="dxa" w:w="100"/>
              <w:bottom w:type="dxa" w:w="80"/>
              <w:right w:type="dxa" w:w="100"/>
            </w:tcMar>
          </w:tcPr>
          <w:p>
            <w:r>
              <w:rPr>
                <w:b/>
                <w:bCs/>
              </w:rPr>
              <w:t xml:space="preserve"/>
            </w:r>
          </w:p>
        </w:tc>
        <w:tc>
          <w:tcPr>
            <w:tcW w:type="dxa" w:w="3500"/>
            <w:shd w:fill="EDE3DA" w:val="clear"/>
            <w:tcMar>
              <w:top w:type="dxa" w:w="80"/>
              <w:left w:type="dxa" w:w="100"/>
              <w:bottom w:type="dxa" w:w="80"/>
              <w:right w:type="dxa" w:w="100"/>
            </w:tcMar>
          </w:tcPr>
          <w:p>
            <w:r>
              <w:rPr>
                <w:b/>
                <w:bCs/>
              </w:rPr>
              <w:t xml:space="preserve">Prefill</w:t>
            </w:r>
          </w:p>
        </w:tc>
        <w:tc>
          <w:tcPr>
            <w:tcW w:type="dxa" w:w="3500"/>
            <w:shd w:fill="EDE3DA" w:val="clear"/>
            <w:tcMar>
              <w:top w:type="dxa" w:w="80"/>
              <w:left w:type="dxa" w:w="100"/>
              <w:bottom w:type="dxa" w:w="80"/>
              <w:right w:type="dxa" w:w="100"/>
            </w:tcMar>
          </w:tcPr>
          <w:p>
            <w:r>
              <w:rPr>
                <w:b/>
                <w:bCs/>
              </w:rPr>
              <w:t xml:space="preserve">Decode</w:t>
            </w:r>
          </w:p>
        </w:tc>
      </w:tr>
      <w:tr>
        <w:trPr>
          <w:cantSplit/>
        </w:trPr>
        <w:tc>
          <w:tcPr>
            <w:tcW w:type="dxa" w:w="2000"/>
            <w:tcMar>
              <w:top w:type="dxa" w:w="60"/>
              <w:left w:type="dxa" w:w="100"/>
              <w:bottom w:type="dxa" w:w="60"/>
              <w:right w:type="dxa" w:w="100"/>
            </w:tcMar>
          </w:tcPr>
          <w:p>
            <w:r>
              <w:t xml:space="preserve">Input</w:t>
            </w:r>
          </w:p>
        </w:tc>
        <w:tc>
          <w:tcPr>
            <w:tcW w:type="dxa" w:w="3500"/>
            <w:tcMar>
              <w:top w:type="dxa" w:w="60"/>
              <w:left w:type="dxa" w:w="100"/>
              <w:bottom w:type="dxa" w:w="60"/>
              <w:right w:type="dxa" w:w="100"/>
            </w:tcMar>
          </w:tcPr>
          <w:p>
            <w:r>
              <w:t xml:space="preserve">The entire prompt</w:t>
            </w:r>
          </w:p>
        </w:tc>
        <w:tc>
          <w:tcPr>
            <w:tcW w:type="dxa" w:w="3500"/>
            <w:tcMar>
              <w:top w:type="dxa" w:w="60"/>
              <w:left w:type="dxa" w:w="100"/>
              <w:bottom w:type="dxa" w:w="60"/>
              <w:right w:type="dxa" w:w="100"/>
            </w:tcMar>
          </w:tcPr>
          <w:p>
            <w:r>
              <w:t xml:space="preserve">One new token per step</w:t>
            </w:r>
          </w:p>
        </w:tc>
      </w:tr>
      <w:tr>
        <w:trPr>
          <w:cantSplit/>
        </w:trPr>
        <w:tc>
          <w:tcPr>
            <w:tcW w:type="dxa" w:w="2000"/>
            <w:tcMar>
              <w:top w:type="dxa" w:w="60"/>
              <w:left w:type="dxa" w:w="100"/>
              <w:bottom w:type="dxa" w:w="60"/>
              <w:right w:type="dxa" w:w="100"/>
            </w:tcMar>
          </w:tcPr>
          <w:p>
            <w:r>
              <w:t xml:space="preserve">Parallelism</w:t>
            </w:r>
          </w:p>
        </w:tc>
        <w:tc>
          <w:tcPr>
            <w:tcW w:type="dxa" w:w="3500"/>
            <w:tcMar>
              <w:top w:type="dxa" w:w="60"/>
              <w:left w:type="dxa" w:w="100"/>
              <w:bottom w:type="dxa" w:w="60"/>
              <w:right w:type="dxa" w:w="100"/>
            </w:tcMar>
          </w:tcPr>
          <w:p>
            <w:r>
              <w:t xml:space="preserve">Parallel across prompt tokens, in stages if long (e.g. 500 + 500)</w:t>
            </w:r>
          </w:p>
        </w:tc>
        <w:tc>
          <w:tcPr>
            <w:tcW w:type="dxa" w:w="3500"/>
            <w:tcMar>
              <w:top w:type="dxa" w:w="60"/>
              <w:left w:type="dxa" w:w="100"/>
              <w:bottom w:type="dxa" w:w="60"/>
              <w:right w:type="dxa" w:w="100"/>
            </w:tcMar>
          </w:tcPr>
          <w:p>
            <w:r>
              <w:t xml:space="preserve">Strictly sequential: one token at a time</w:t>
            </w:r>
          </w:p>
        </w:tc>
      </w:tr>
      <w:tr>
        <w:trPr>
          <w:cantSplit/>
        </w:trPr>
        <w:tc>
          <w:tcPr>
            <w:tcW w:type="dxa" w:w="2000"/>
            <w:tcMar>
              <w:top w:type="dxa" w:w="60"/>
              <w:left w:type="dxa" w:w="100"/>
              <w:bottom w:type="dxa" w:w="60"/>
              <w:right w:type="dxa" w:w="100"/>
            </w:tcMar>
          </w:tcPr>
          <w:p>
            <w:r>
              <w:t xml:space="preserve">Role of the KV cache</w:t>
            </w:r>
          </w:p>
        </w:tc>
        <w:tc>
          <w:tcPr>
            <w:tcW w:type="dxa" w:w="3500"/>
            <w:tcMar>
              <w:top w:type="dxa" w:w="60"/>
              <w:left w:type="dxa" w:w="100"/>
              <w:bottom w:type="dxa" w:w="60"/>
              <w:right w:type="dxa" w:w="100"/>
            </w:tcMar>
          </w:tcPr>
          <w:p>
            <w:r>
              <w:t xml:space="preserve">Builds the cache; when prefill ends, the cache is ready</w:t>
            </w:r>
          </w:p>
        </w:tc>
        <w:tc>
          <w:tcPr>
            <w:tcW w:type="dxa" w:w="3500"/>
            <w:tcMar>
              <w:top w:type="dxa" w:w="60"/>
              <w:left w:type="dxa" w:w="100"/>
              <w:bottom w:type="dxa" w:w="60"/>
              <w:right w:type="dxa" w:w="100"/>
            </w:tcMar>
          </w:tcPr>
          <w:p>
            <w:r>
              <w:t xml:space="preserve">Reads the whole cache and appends one new K and V pair per step</w:t>
            </w:r>
          </w:p>
        </w:tc>
      </w:tr>
      <w:tr>
        <w:trPr>
          <w:cantSplit/>
        </w:trPr>
        <w:tc>
          <w:tcPr>
            <w:tcW w:type="dxa" w:w="2000"/>
            <w:tcMar>
              <w:top w:type="dxa" w:w="60"/>
              <w:left w:type="dxa" w:w="100"/>
              <w:bottom w:type="dxa" w:w="60"/>
              <w:right w:type="dxa" w:w="100"/>
            </w:tcMar>
          </w:tcPr>
          <w:p>
            <w:r>
              <w:t xml:space="preserve">Latency metric</w:t>
            </w:r>
          </w:p>
        </w:tc>
        <w:tc>
          <w:tcPr>
            <w:tcW w:type="dxa" w:w="3500"/>
            <w:tcMar>
              <w:top w:type="dxa" w:w="60"/>
              <w:left w:type="dxa" w:w="100"/>
              <w:bottom w:type="dxa" w:w="60"/>
              <w:right w:type="dxa" w:w="100"/>
            </w:tcMar>
          </w:tcPr>
          <w:p>
            <w:r>
              <w:t xml:space="preserve">Time to first token (TTFT)</w:t>
            </w:r>
          </w:p>
        </w:tc>
        <w:tc>
          <w:tcPr>
            <w:tcW w:type="dxa" w:w="3500"/>
            <w:tcMar>
              <w:top w:type="dxa" w:w="60"/>
              <w:left w:type="dxa" w:w="100"/>
              <w:bottom w:type="dxa" w:w="60"/>
              <w:right w:type="dxa" w:w="100"/>
            </w:tcMar>
          </w:tcPr>
          <w:p>
            <w:r>
              <w:t xml:space="preserve">Time per output token (TPOT)</w:t>
            </w:r>
          </w:p>
        </w:tc>
      </w:tr>
      <w:tr>
        <w:trPr>
          <w:cantSplit/>
        </w:trPr>
        <w:tc>
          <w:tcPr>
            <w:tcW w:type="dxa" w:w="2000"/>
            <w:tcMar>
              <w:top w:type="dxa" w:w="60"/>
              <w:left w:type="dxa" w:w="100"/>
              <w:bottom w:type="dxa" w:w="60"/>
              <w:right w:type="dxa" w:w="100"/>
            </w:tcMar>
          </w:tcPr>
          <w:p>
            <w:r>
              <w:t xml:space="preserve">Costly when</w:t>
            </w:r>
          </w:p>
        </w:tc>
        <w:tc>
          <w:tcPr>
            <w:tcW w:type="dxa" w:w="3500"/>
            <w:tcMar>
              <w:top w:type="dxa" w:w="60"/>
              <w:left w:type="dxa" w:w="100"/>
              <w:bottom w:type="dxa" w:w="60"/>
              <w:right w:type="dxa" w:w="100"/>
            </w:tcMar>
          </w:tcPr>
          <w:p>
            <w:r>
              <w:t xml:space="preserve">Prompts are long</w:t>
            </w:r>
          </w:p>
        </w:tc>
        <w:tc>
          <w:tcPr>
            <w:tcW w:type="dxa" w:w="3500"/>
            <w:tcMar>
              <w:top w:type="dxa" w:w="60"/>
              <w:left w:type="dxa" w:w="100"/>
              <w:bottom w:type="dxa" w:w="60"/>
              <w:right w:type="dxa" w:w="100"/>
            </w:tcMar>
          </w:tcPr>
          <w:p>
            <w:r>
              <w:t xml:space="preserve">Outputs are long</w:t>
            </w:r>
          </w:p>
        </w:tc>
      </w:tr>
    </w:tbl>
    <w:p>
      <w:pPr>
        <w:spacing w:after="100"/>
      </w:pPr>
    </w:p>
    <w:p>
      <w:pPr>
        <w:spacing w:after="200" w:line="300"/>
      </w:pPr>
      <w:r>
        <w:t xml:space="preserve">Prefill can be parallel because the prompt is fully known up front: no token's K and V depends on a token that has not been produced yet, so all of them can be computed together. Don't picture a literal 1,000 simultaneous operations, though. A long prompt can be broken into stages, such as two parallel batches of 500, and the hardware decides the exact split. Decode cannot be parallelized in the same way, because each new token depends on the one before it.</w:t>
      </w:r>
    </w:p>
    <w:p>
      <w:pPr>
        <w:spacing w:after="200" w:line="300"/>
      </w:pPr>
      <w:r>
        <w:t xml:space="preserve">A useful analogy is reading a newspaper before writing a summary of it. Reading the whole paper first is prefill, and writing the summary one word at a time is decode. You cannot start writing until the reading is done, which is exactly why decode waits for the KV cache that prefill builds.</w:t>
      </w:r>
    </w:p>
    <w:p>
      <w:pPr>
        <w:pBdr>
          <w:left w:val="single" w:color="8B2E2E" w:sz="24" w:space="8"/>
        </w:pBdr>
        <w:shd w:fill="FBEEE6" w:val="clear"/>
        <w:spacing w:after="60" w:before="160"/>
        <w:ind w:left="100"/>
      </w:pPr>
      <w:r>
        <w:rPr>
          <w:b/>
          <w:bCs/>
          <w:color w:val="8B2E2E"/>
        </w:rPr>
        <w:t xml:space="preserve">⭑ Important — Prefill is parallel, decode is sequential, and the KV cache connects them</w:t>
      </w:r>
    </w:p>
    <w:p>
      <w:pPr>
        <w:pBdr>
          <w:left w:val="single" w:color="8B2E2E" w:sz="24" w:space="8"/>
        </w:pBdr>
        <w:shd w:fill="FBEEE6" w:val="clear"/>
        <w:spacing w:after="220" w:before="0"/>
        <w:ind w:left="100"/>
      </w:pPr>
      <w:r>
        <w:t xml:space="preserve">Every request passes through both phases, in order. Prefill reads the entire prompt in parallel and produces K and V for every prompt token; the moment it finishes, the KV cache is ready, and only then can decode begin. Decode generates one token at a time, reading the cache and appending one new K and V pair per step. Keep the metrics straight: TTFT is driven by prefill, TPOT by decode. Most inference-engineering problems come down to asking which of the two phases a given workload is stressing.</w:t>
      </w:r>
    </w:p>
    <w:p>
      <w:pPr>
        <w:pStyle w:val="Heading1"/>
        <w:spacing w:after="160" w:before="320"/>
      </w:pPr>
      <w:r>
        <w:t xml:space="preserve">7. Latency Metrics: TTFT, TPOT, and Workload Shape</w:t>
      </w:r>
    </w:p>
    <w:p>
      <w:pPr>
        <w:spacing w:after="200" w:line="300"/>
      </w:pPr>
      <w:r>
        <w:t xml:space="preserve">Time to first token (TTFT) is the delay between sending a prompt and seeing the first token of the response. It is the pause you feel in a chat interface before text starts appearing, and it depends almost entirely on prefill. Time per output token (TPOT) is the gap between consecutive tokens (token 2's timestamp minus token 1's, and so on), typically averaged to roughly 20 to 30 milliseconds. A closely related figure is tokens per second (TPS).</w:t>
      </w:r>
    </w:p>
    <w:p>
      <w:pPr>
        <w:spacing w:after="200" w:line="300"/>
      </w:pPr>
      <w:r>
        <w:t xml:space="preserve">TTFT matters more to users than TPOT. A slow TTFT can mean staring at a blank screen for minutes, while a slightly slower TPOT is hidden by streaming, which shows each token as soon as it is generated. TPOT also varies a little from token to token, which is why it is reported as an average instead of a fixed number.</w:t>
      </w:r>
    </w:p>
    <w:p>
      <w:pPr>
        <w:spacing w:after="200" w:line="300"/>
      </w:pPr>
      <w:r>
        <w:t xml:space="preserve">The shape of a workload decides which phase hurts. A request with a 10,000-token prompt and a 20-token answer (summarization is the classic case) makes prefill expensive and TTFT high, while decode is trivial. The opposite request, a short prompt that produces 10,000 output tokens, has a cheap prefill and a low TTFT, but decode becomes the expensive phase because 10,000 tokens must be produced strictly one after another. Serving systems have to be engineered with both shapes in mind.</w:t>
      </w:r>
    </w:p>
    <w:p>
      <w:pPr>
        <w:pStyle w:val="Heading1"/>
        <w:spacing w:after="160" w:before="320"/>
      </w:pPr>
      <w:r>
        <w:t xml:space="preserve">8. The Memory Wall: Compute vs. Memory Bandwidth</w:t>
      </w:r>
    </w:p>
    <w:p>
      <w:pPr>
        <w:spacing w:after="200" w:line="300"/>
      </w:pPr>
      <w:r>
        <w:t xml:space="preserve">Two hardware quantities govern how fast a GPU can do useful work. The first is compute throughput: how many floating-point operations it can perform per second. A FLOP is one floating-point operation, and GPUs are rated in TFLOPS (tera, or trillion, FLOPs per second), so a rating of 1,000 TFLOPS means on the order of 10 to the 15th operations every second. The second is memory bandwidth: how much data can be moved to the GPU per second. Data starts in system memory and has to be moved into the GPU's own memory before it can be processed.</w:t>
      </w:r>
    </w:p>
    <w:p>
      <w:pPr>
        <w:spacing w:after="200" w:line="300"/>
      </w:pPr>
      <w:r>
        <w:t xml:space="preserve">Arithmetic intensity ties the two together: it is how much computation you perform for every byte of data you move. Imagine a GPU rated at 1,000 TFLOPS (and treat the following as illustrative numbers, not real hardware specs). If you move 1 GB of data and perform only 10 billion operations on it, that is tiny compared with 1,000 TFLOPS of capability, so intensity is low and the GPU mostly idles. Keep the same 1 GB but perform 100 billion operations on it, and intensity is higher and the GPU is better used. What you want is high arithmetic intensity: as much useful computation as possible per byte moved.</w:t>
      </w:r>
    </w:p>
    <w:p>
      <w:pPr>
        <w:spacing w:after="200" w:line="300"/>
      </w:pPr>
      <w:r>
        <w:t xml:space="preserve">A kitchen analogy makes the problem concrete. A chef can cook 100 dishes per second, but the kitchen can only deliver ingredients for 20 dishes per second. The chef spends most of the time waiting, and the output stays pinned at 20 dishes no matter how fast the chef is. This is the memory wall: the processor can compute faster than the memory system can feed it, so memory bandwidth, not compute, is the bottleneck. A GPU that has not been given any data simply waits, and it only resumes when data arrives.</w:t>
      </w:r>
    </w:p>
    <w:p>
      <w:pPr>
        <w:spacing w:after="200" w:line="300"/>
      </w:pPr>
      <w:r>
        <w:t xml:space="preserve">This problem is sharpest in the decode phase, where each step produces just one token yet has to touch a large amount of data. The outcome also depends on the hardware, not on the code you write: the processor, the system RAM (a fast DDR5 module versus an older generation, for example), and the GPU's VRAM all matter. Software cannot fix a slow memory system, which is why good hardware is the first answer to this problem, and why later techniques in this module focus on reducing how much data has to move.</w:t>
      </w:r>
    </w:p>
    <w:p>
      <w:pPr>
        <w:pBdr>
          <w:left w:val="single" w:color="8B2E2E" w:sz="24" w:space="8"/>
        </w:pBdr>
        <w:shd w:fill="FBEEE6" w:val="clear"/>
        <w:spacing w:after="60" w:before="160"/>
        <w:ind w:left="100"/>
      </w:pPr>
      <w:r>
        <w:rPr>
          <w:b/>
          <w:bCs/>
          <w:color w:val="8B2E2E"/>
        </w:rPr>
        <w:t xml:space="preserve">⭑ Important — The bottleneck is feeding the GPU, not computing on it</w:t>
      </w:r>
    </w:p>
    <w:p>
      <w:pPr>
        <w:pBdr>
          <w:left w:val="single" w:color="8B2E2E" w:sz="24" w:space="8"/>
        </w:pBdr>
        <w:shd w:fill="FBEEE6" w:val="clear"/>
        <w:spacing w:after="220" w:before="0"/>
        <w:ind w:left="100"/>
      </w:pPr>
      <w:r>
        <w:t xml:space="preserve">The memory wall means a GPU's compute throughput usually sits unused while it waits for data, so the practical goal is high arithmetic intensity: as much computation as possible per byte moved. The KV cache is a direct participant in this problem, because the cache has to be stored in memory and read at every decode step. Keep two distinctions in mind: RAM is the system's main memory, while VRAM is the GPU's own memory, and the cache lives in VRAM. And remember that the limit is set by the hardware, not by how clever your code is.</w:t>
      </w:r>
    </w:p>
    <w:p>
      <w:pPr>
        <w:pStyle w:val="Heading1"/>
        <w:spacing w:after="160" w:before="320"/>
      </w:pPr>
      <w:r>
        <w:t xml:space="preserve">9. Where the KV Cache Lives: Weights First, Then Cache</w:t>
      </w:r>
    </w:p>
    <w:p>
      <w:pPr>
        <w:spacing w:after="200" w:line="300"/>
      </w:pPr>
      <w:r>
        <w:t xml:space="preserve">The KV cache sits in GPU VRAM, alongside the model itself. The model weights get loaded first, because K and V cannot be calculated without the weights and the architecture, so the cache only becomes possible once the model is in place. The weights frequently take a large share of VRAM (often more than 40 percent, depending on the model and the GPU), and the cache then gets whatever is left.</w:t>
      </w:r>
    </w:p>
    <w:p>
      <w:pPr>
        <w:spacing w:after="200" w:line="300"/>
      </w:pPr>
      <w:r>
        <w:t xml:space="preserve">In practice, you plan to use at most around 95 percent of VRAM in total and deliberately leave about 5 percent free, because if another process touches the GPU and finds no headroom, the whole serving process can break. Since the cache and the weights compete for the same pool, anything that shrinks the cache directly frees room for more requests.</w:t>
      </w:r>
    </w:p>
    <w:p>
      <w:pPr>
        <w:pStyle w:val="Heading1"/>
        <w:spacing w:after="160" w:before="320"/>
      </w:pPr>
      <w:r>
        <w:t xml:space="preserve">10. KV Cache Memory Math</w:t>
      </w:r>
    </w:p>
    <w:p>
      <w:pPr>
        <w:spacing w:after="200" w:line="300"/>
      </w:pPr>
      <w:r>
        <w:t xml:space="preserve">The memory a KV cache needs follows a short formula. The KV memory per token is 2 × (number of KV heads) × (head dimension) × (number of layers) × (bytes per value). The leading 2 is one for K and one for V. The total cache is then the per-token figure multiplied by the sequence length and the batch size, where batch size is 1 for a single request, but 10 or 16 if that many sequences are processed in parallel.</w:t>
      </w:r>
    </w:p>
    <w:p>
      <w:pPr>
        <w:spacing w:after="200" w:line="300"/>
      </w:pPr>
      <w:r>
        <w:t xml:space="preserve">Work through an example with 8 KV heads, a head dimension of 64 (the original paper's 512-dimension model split across 8 heads), 32 transformer layers, and FP16 (2 bytes per value).</w:t>
      </w:r>
    </w:p>
    <w:tbl>
      <w:tblPr>
        <w:tblW w:type="dxa" w:w="9000"/>
        <w:tblBorders>
          <w:top w:val="single" w:color="C9BBAE" w:sz="4"/>
          <w:left w:val="single" w:color="C9BBAE" w:sz="4"/>
          <w:bottom w:val="single" w:color="C9BBAE" w:sz="4"/>
          <w:right w:val="single" w:color="C9BBAE" w:sz="4"/>
          <w:insideH w:val="single" w:color="C9BBAE" w:sz="4"/>
          <w:insideV w:val="single" w:color="C9BBAE" w:sz="4"/>
        </w:tblBorders>
      </w:tblPr>
      <w:tblGrid>
        <w:gridCol w:w="2900"/>
        <w:gridCol w:w="3100"/>
        <w:gridCol w:w="3000"/>
      </w:tblGrid>
      <w:tr>
        <w:trPr>
          <w:tblHeader/>
        </w:trPr>
        <w:tc>
          <w:tcPr>
            <w:tcW w:type="dxa" w:w="2900"/>
            <w:shd w:fill="EDE3DA" w:val="clear"/>
            <w:tcMar>
              <w:top w:type="dxa" w:w="80"/>
              <w:left w:type="dxa" w:w="100"/>
              <w:bottom w:type="dxa" w:w="80"/>
              <w:right w:type="dxa" w:w="100"/>
            </w:tcMar>
          </w:tcPr>
          <w:p>
            <w:r>
              <w:rPr>
                <w:b/>
                <w:bCs/>
              </w:rPr>
              <w:t xml:space="preserve">Step</w:t>
            </w:r>
          </w:p>
        </w:tc>
        <w:tc>
          <w:tcPr>
            <w:tcW w:type="dxa" w:w="3100"/>
            <w:shd w:fill="EDE3DA" w:val="clear"/>
            <w:tcMar>
              <w:top w:type="dxa" w:w="80"/>
              <w:left w:type="dxa" w:w="100"/>
              <w:bottom w:type="dxa" w:w="80"/>
              <w:right w:type="dxa" w:w="100"/>
            </w:tcMar>
          </w:tcPr>
          <w:p>
            <w:r>
              <w:rPr>
                <w:b/>
                <w:bCs/>
              </w:rPr>
              <w:t xml:space="preserve">Calculation</w:t>
            </w:r>
          </w:p>
        </w:tc>
        <w:tc>
          <w:tcPr>
            <w:tcW w:type="dxa" w:w="3000"/>
            <w:shd w:fill="EDE3DA" w:val="clear"/>
            <w:tcMar>
              <w:top w:type="dxa" w:w="80"/>
              <w:left w:type="dxa" w:w="100"/>
              <w:bottom w:type="dxa" w:w="80"/>
              <w:right w:type="dxa" w:w="100"/>
            </w:tcMar>
          </w:tcPr>
          <w:p>
            <w:r>
              <w:rPr>
                <w:b/>
                <w:bCs/>
              </w:rPr>
              <w:t xml:space="preserve">Result</w:t>
            </w:r>
          </w:p>
        </w:tc>
      </w:tr>
      <w:tr>
        <w:trPr>
          <w:cantSplit/>
        </w:trPr>
        <w:tc>
          <w:tcPr>
            <w:tcW w:type="dxa" w:w="2900"/>
            <w:tcMar>
              <w:top w:type="dxa" w:w="60"/>
              <w:left w:type="dxa" w:w="100"/>
              <w:bottom w:type="dxa" w:w="60"/>
              <w:right w:type="dxa" w:w="100"/>
            </w:tcMar>
          </w:tcPr>
          <w:p>
            <w:r>
              <w:t xml:space="preserve">K per token, one layer</w:t>
            </w:r>
          </w:p>
        </w:tc>
        <w:tc>
          <w:tcPr>
            <w:tcW w:type="dxa" w:w="3100"/>
            <w:tcMar>
              <w:top w:type="dxa" w:w="60"/>
              <w:left w:type="dxa" w:w="100"/>
              <w:bottom w:type="dxa" w:w="60"/>
              <w:right w:type="dxa" w:w="100"/>
            </w:tcMar>
          </w:tcPr>
          <w:p>
            <w:r>
              <w:t xml:space="preserve">8 heads × 64 dimensions</w:t>
            </w:r>
          </w:p>
        </w:tc>
        <w:tc>
          <w:tcPr>
            <w:tcW w:type="dxa" w:w="3000"/>
            <w:tcMar>
              <w:top w:type="dxa" w:w="60"/>
              <w:left w:type="dxa" w:w="100"/>
              <w:bottom w:type="dxa" w:w="60"/>
              <w:right w:type="dxa" w:w="100"/>
            </w:tcMar>
          </w:tcPr>
          <w:p>
            <w:r>
              <w:t xml:space="preserve">512 values</w:t>
            </w:r>
          </w:p>
        </w:tc>
      </w:tr>
      <w:tr>
        <w:trPr>
          <w:cantSplit/>
        </w:trPr>
        <w:tc>
          <w:tcPr>
            <w:tcW w:type="dxa" w:w="2900"/>
            <w:tcMar>
              <w:top w:type="dxa" w:w="60"/>
              <w:left w:type="dxa" w:w="100"/>
              <w:bottom w:type="dxa" w:w="60"/>
              <w:right w:type="dxa" w:w="100"/>
            </w:tcMar>
          </w:tcPr>
          <w:p>
            <w:r>
              <w:t xml:space="preserve">V per token, one layer</w:t>
            </w:r>
          </w:p>
        </w:tc>
        <w:tc>
          <w:tcPr>
            <w:tcW w:type="dxa" w:w="3100"/>
            <w:tcMar>
              <w:top w:type="dxa" w:w="60"/>
              <w:left w:type="dxa" w:w="100"/>
              <w:bottom w:type="dxa" w:w="60"/>
              <w:right w:type="dxa" w:w="100"/>
            </w:tcMar>
          </w:tcPr>
          <w:p>
            <w:r>
              <w:t xml:space="preserve">8 heads × 64 dimensions</w:t>
            </w:r>
          </w:p>
        </w:tc>
        <w:tc>
          <w:tcPr>
            <w:tcW w:type="dxa" w:w="3000"/>
            <w:tcMar>
              <w:top w:type="dxa" w:w="60"/>
              <w:left w:type="dxa" w:w="100"/>
              <w:bottom w:type="dxa" w:w="60"/>
              <w:right w:type="dxa" w:w="100"/>
            </w:tcMar>
          </w:tcPr>
          <w:p>
            <w:r>
              <w:t xml:space="preserve">512 values</w:t>
            </w:r>
          </w:p>
        </w:tc>
      </w:tr>
      <w:tr>
        <w:trPr>
          <w:cantSplit/>
        </w:trPr>
        <w:tc>
          <w:tcPr>
            <w:tcW w:type="dxa" w:w="2900"/>
            <w:tcMar>
              <w:top w:type="dxa" w:w="60"/>
              <w:left w:type="dxa" w:w="100"/>
              <w:bottom w:type="dxa" w:w="60"/>
              <w:right w:type="dxa" w:w="100"/>
            </w:tcMar>
          </w:tcPr>
          <w:p>
            <w:r>
              <w:t xml:space="preserve">K and V together</w:t>
            </w:r>
          </w:p>
        </w:tc>
        <w:tc>
          <w:tcPr>
            <w:tcW w:type="dxa" w:w="3100"/>
            <w:tcMar>
              <w:top w:type="dxa" w:w="60"/>
              <w:left w:type="dxa" w:w="100"/>
              <w:bottom w:type="dxa" w:w="60"/>
              <w:right w:type="dxa" w:w="100"/>
            </w:tcMar>
          </w:tcPr>
          <w:p>
            <w:r>
              <w:t xml:space="preserve">512 + 512</w:t>
            </w:r>
          </w:p>
        </w:tc>
        <w:tc>
          <w:tcPr>
            <w:tcW w:type="dxa" w:w="3000"/>
            <w:tcMar>
              <w:top w:type="dxa" w:w="60"/>
              <w:left w:type="dxa" w:w="100"/>
              <w:bottom w:type="dxa" w:w="60"/>
              <w:right w:type="dxa" w:w="100"/>
            </w:tcMar>
          </w:tcPr>
          <w:p>
            <w:r>
              <w:t xml:space="preserve">1,024 values</w:t>
            </w:r>
          </w:p>
        </w:tc>
      </w:tr>
      <w:tr>
        <w:trPr>
          <w:cantSplit/>
        </w:trPr>
        <w:tc>
          <w:tcPr>
            <w:tcW w:type="dxa" w:w="2900"/>
            <w:tcMar>
              <w:top w:type="dxa" w:w="60"/>
              <w:left w:type="dxa" w:w="100"/>
              <w:bottom w:type="dxa" w:w="60"/>
              <w:right w:type="dxa" w:w="100"/>
            </w:tcMar>
          </w:tcPr>
          <w:p>
            <w:r>
              <w:t xml:space="preserve">Convert to bytes (FP16)</w:t>
            </w:r>
          </w:p>
        </w:tc>
        <w:tc>
          <w:tcPr>
            <w:tcW w:type="dxa" w:w="3100"/>
            <w:tcMar>
              <w:top w:type="dxa" w:w="60"/>
              <w:left w:type="dxa" w:w="100"/>
              <w:bottom w:type="dxa" w:w="60"/>
              <w:right w:type="dxa" w:w="100"/>
            </w:tcMar>
          </w:tcPr>
          <w:p>
            <w:r>
              <w:t xml:space="preserve">1,024 × 2 bytes</w:t>
            </w:r>
          </w:p>
        </w:tc>
        <w:tc>
          <w:tcPr>
            <w:tcW w:type="dxa" w:w="3000"/>
            <w:tcMar>
              <w:top w:type="dxa" w:w="60"/>
              <w:left w:type="dxa" w:w="100"/>
              <w:bottom w:type="dxa" w:w="60"/>
              <w:right w:type="dxa" w:w="100"/>
            </w:tcMar>
          </w:tcPr>
          <w:p>
            <w:r>
              <w:t xml:space="preserve">2,048 bytes ≈ 2 KB</w:t>
            </w:r>
          </w:p>
        </w:tc>
      </w:tr>
      <w:tr>
        <w:trPr>
          <w:cantSplit/>
        </w:trPr>
        <w:tc>
          <w:tcPr>
            <w:tcW w:type="dxa" w:w="2900"/>
            <w:tcMar>
              <w:top w:type="dxa" w:w="60"/>
              <w:left w:type="dxa" w:w="100"/>
              <w:bottom w:type="dxa" w:w="60"/>
              <w:right w:type="dxa" w:w="100"/>
            </w:tcMar>
          </w:tcPr>
          <w:p>
            <w:r>
              <w:t xml:space="preserve">All 32 layers</w:t>
            </w:r>
          </w:p>
        </w:tc>
        <w:tc>
          <w:tcPr>
            <w:tcW w:type="dxa" w:w="3100"/>
            <w:tcMar>
              <w:top w:type="dxa" w:w="60"/>
              <w:left w:type="dxa" w:w="100"/>
              <w:bottom w:type="dxa" w:w="60"/>
              <w:right w:type="dxa" w:w="100"/>
            </w:tcMar>
          </w:tcPr>
          <w:p>
            <w:r>
              <w:t xml:space="preserve">2 KB × 32</w:t>
            </w:r>
          </w:p>
        </w:tc>
        <w:tc>
          <w:tcPr>
            <w:tcW w:type="dxa" w:w="3000"/>
            <w:tcMar>
              <w:top w:type="dxa" w:w="60"/>
              <w:left w:type="dxa" w:w="100"/>
              <w:bottom w:type="dxa" w:w="60"/>
              <w:right w:type="dxa" w:w="100"/>
            </w:tcMar>
          </w:tcPr>
          <w:p>
            <w:r>
              <w:t xml:space="preserve">64 KB per token</w:t>
            </w:r>
          </w:p>
        </w:tc>
      </w:tr>
      <w:tr>
        <w:trPr>
          <w:cantSplit/>
        </w:trPr>
        <w:tc>
          <w:tcPr>
            <w:tcW w:type="dxa" w:w="2900"/>
            <w:tcMar>
              <w:top w:type="dxa" w:w="60"/>
              <w:left w:type="dxa" w:w="100"/>
              <w:bottom w:type="dxa" w:w="60"/>
              <w:right w:type="dxa" w:w="100"/>
            </w:tcMar>
          </w:tcPr>
          <w:p>
            <w:r>
              <w:t xml:space="preserve">10,000 tokens</w:t>
            </w:r>
          </w:p>
        </w:tc>
        <w:tc>
          <w:tcPr>
            <w:tcW w:type="dxa" w:w="3100"/>
            <w:tcMar>
              <w:top w:type="dxa" w:w="60"/>
              <w:left w:type="dxa" w:w="100"/>
              <w:bottom w:type="dxa" w:w="60"/>
              <w:right w:type="dxa" w:w="100"/>
            </w:tcMar>
          </w:tcPr>
          <w:p>
            <w:r>
              <w:t xml:space="preserve">64 KB × 10,000</w:t>
            </w:r>
          </w:p>
        </w:tc>
        <w:tc>
          <w:tcPr>
            <w:tcW w:type="dxa" w:w="3000"/>
            <w:tcMar>
              <w:top w:type="dxa" w:w="60"/>
              <w:left w:type="dxa" w:w="100"/>
              <w:bottom w:type="dxa" w:w="60"/>
              <w:right w:type="dxa" w:w="100"/>
            </w:tcMar>
          </w:tcPr>
          <w:p>
            <w:r>
              <w:t xml:space="preserve">≈ 640 MB</w:t>
            </w:r>
          </w:p>
        </w:tc>
      </w:tr>
      <w:tr>
        <w:trPr>
          <w:cantSplit/>
        </w:trPr>
        <w:tc>
          <w:tcPr>
            <w:tcW w:type="dxa" w:w="2900"/>
            <w:tcMar>
              <w:top w:type="dxa" w:w="60"/>
              <w:left w:type="dxa" w:w="100"/>
              <w:bottom w:type="dxa" w:w="60"/>
              <w:right w:type="dxa" w:w="100"/>
            </w:tcMar>
          </w:tcPr>
          <w:p>
            <w:r>
              <w:t xml:space="preserve">100,000 tokens</w:t>
            </w:r>
          </w:p>
        </w:tc>
        <w:tc>
          <w:tcPr>
            <w:tcW w:type="dxa" w:w="3100"/>
            <w:tcMar>
              <w:top w:type="dxa" w:w="60"/>
              <w:left w:type="dxa" w:w="100"/>
              <w:bottom w:type="dxa" w:w="60"/>
              <w:right w:type="dxa" w:w="100"/>
            </w:tcMar>
          </w:tcPr>
          <w:p>
            <w:r>
              <w:t xml:space="preserve">64 KB × 100,000</w:t>
            </w:r>
          </w:p>
        </w:tc>
        <w:tc>
          <w:tcPr>
            <w:tcW w:type="dxa" w:w="3000"/>
            <w:tcMar>
              <w:top w:type="dxa" w:w="60"/>
              <w:left w:type="dxa" w:w="100"/>
              <w:bottom w:type="dxa" w:w="60"/>
              <w:right w:type="dxa" w:w="100"/>
            </w:tcMar>
          </w:tcPr>
          <w:p>
            <w:r>
              <w:t xml:space="preserve">≈ 6.4 GB</w:t>
            </w:r>
          </w:p>
        </w:tc>
      </w:tr>
    </w:tbl>
    <w:p>
      <w:pPr>
        <w:spacing w:after="100"/>
      </w:pPr>
    </w:p>
    <w:p>
      <w:pPr>
        <w:spacing w:after="200" w:line="300"/>
      </w:pPr>
      <w:r>
        <w:t xml:space="preserve">Two things stand out. First, the cache grows linearly with sequence length (twice the tokens means twice the memory) and with batch size. Second, once you know a model's architecture you can estimate its cache with nothing more than this formula.</w:t>
      </w:r>
    </w:p>
    <w:p>
      <w:pPr>
        <w:spacing w:after="200" w:line="300"/>
      </w:pPr>
      <w:r>
        <w:t xml:space="preserve">The data type matters just as directly. FP16 and BF16 take 2 bytes per value, FP32 takes 4, and FP64 takes 8, so the 100,000-token example above grows from 6.4 GB to 12.8 GB with FP32 and 25.6 GB with FP64. Most LLM work therefore runs in 16-bit precision, since 32-bit simply doubles the memory for no benefit here.</w:t>
      </w:r>
    </w:p>
    <w:p>
      <w:pPr>
        <w:spacing w:after="200" w:line="300"/>
      </w:pPr>
      <w:r>
        <w:t xml:space="preserve">Real models follow the same arithmetic. A 7-billion-parameter Llama-2-class model (32 layers, 32 heads, head dimension 128, FP16) needs about 0.5 MB of cache per token, which works out to roughly 2 GB at a 4,096-token context, next to about 13 GB of weights. A 70-billion-parameter model lands around 10 GB in the class notebook's rough table. More parameters generally means more layers, and layers are a direct multiplier in the formula, so bigger models mean bigger caches.</w:t>
      </w:r>
    </w:p>
    <w:p>
      <w:pPr>
        <w:spacing w:after="200" w:line="300"/>
      </w:pPr>
      <w:r>
        <w:t xml:space="preserve">Work through the formula from the right to see which terms can actually be reduced. The data type can be changed (for example by quantizing the cache), but that is the last resort, not the first move. The number of layers is fixed by the model, and so is the head dimension. That leaves the number of KV heads, which in standard multi-head attention equals the number of attention heads. Reducing that one term is the idea behind the attention variants that follow. Note that Q does not appear anywhere in this formula, because queries are not cached.</w:t>
      </w:r>
    </w:p>
    <w:p>
      <w:pPr>
        <w:pBdr>
          <w:left w:val="single" w:color="8B2E2E" w:sz="24" w:space="8"/>
        </w:pBdr>
        <w:shd w:fill="FBEEE6" w:val="clear"/>
        <w:spacing w:after="60" w:before="160"/>
        <w:ind w:left="100"/>
      </w:pPr>
      <w:r>
        <w:rPr>
          <w:b/>
          <w:bCs/>
          <w:color w:val="8B2E2E"/>
        </w:rPr>
        <w:t xml:space="preserve">⭑ Important — KV cache size = 2 × KV heads × head dimension × layers × bytes per value, then × tokens × batch</w:t>
      </w:r>
    </w:p>
    <w:p>
      <w:pPr>
        <w:pBdr>
          <w:left w:val="single" w:color="8B2E2E" w:sz="24" w:space="8"/>
        </w:pBdr>
        <w:shd w:fill="FBEEE6" w:val="clear"/>
        <w:spacing w:after="220" w:before="0"/>
        <w:ind w:left="100"/>
      </w:pPr>
      <w:r>
        <w:t xml:space="preserve">Memorize this formula and be able to run it by hand. The cache grows linearly with sequence length and with batch size, doubles when you move from 16-bit to 32-bit values, and scales with the number of layers, which is why larger models carry larger caches. Of the terms you could reduce, only the number of KV heads offers real room to maneuver; layers and head dimension are fixed by the model, and changing the data type (quantization) is the last step, not the first.</w:t>
      </w:r>
    </w:p>
    <w:p>
      <w:pPr>
        <w:pStyle w:val="Heading1"/>
        <w:spacing w:after="160" w:before="320"/>
      </w:pPr>
      <w:r>
        <w:t xml:space="preserve">11. Managing the KV Cache in Production</w:t>
      </w:r>
    </w:p>
    <w:p>
      <w:pPr>
        <w:spacing w:after="200" w:line="300"/>
      </w:pPr>
      <w:r>
        <w:t xml:space="preserve">A KV cache is specific to the request that produced it. If a different user sends a different prompt, the K and V values are different too, so the old cache is useless for the new request. Every prompt gets its own cache, which is created while the request is being served and released when the memory is needed again, and it stays in GPU VRAM throughout. It is not moved back to the CPU or stored in something like Redis.</w:t>
      </w:r>
    </w:p>
    <w:p>
      <w:pPr>
        <w:spacing w:after="200" w:line="300"/>
      </w:pPr>
      <w:r>
        <w:t xml:space="preserve">There is no fixed time-to-live. How long you keep caches depends on the VRAM available and on the size of the inputs. With plenty of VRAM you might keep caches across hundreds or even a thousand requests before clearing; with very little, you clear after every request or every few. Request count alone is not enough: if prompts are normally under a couple of hundred tokens and suddenly a 15,000-token prompt arrives, memory can disappear quickly, so the number of input tokens should feed into the decision as well. Sequential and parallel requests both accumulate cache, so neither avoids the need to clear it.</w:t>
      </w:r>
    </w:p>
    <w:p>
      <w:pPr>
        <w:spacing w:after="200" w:line="300"/>
      </w:pPr>
      <w:r>
        <w:t xml:space="preserve">A practical budget looks like this: if the model takes 20 to 30 percent of VRAM, reserve something like 60 to 70 percent for the cache. On an 80 GB H100 holding a 20 GB model, that means allocating close to 50 GB to the cache, and the larger that allocation, the more requests can be processed before anything has to be cleared. This is also why you cannot hold a cache for every one of thousands of users at once; memory is freed over time.</w:t>
      </w:r>
    </w:p>
    <w:p>
      <w:pPr>
        <w:spacing w:after="200" w:line="300"/>
      </w:pPr>
      <w:r>
        <w:t xml:space="preserve">The maximum context length a system can offer is ultimately bounded by how much KV cache fits in memory, and it is a configurable setting. The same model can be offered with a 1-million-token window by one provider and a smaller one by another. With a hosted API you can usually only cap the number of generated tokens; controlling the context window itself requires controlling the serving setup. And do not confuse any of this with an application-level cache: saving prompts and responses in Redis for conversation memory is ordinary caching, unrelated to the KV cache.</w:t>
      </w:r>
    </w:p>
    <w:p>
      <w:pPr>
        <w:pStyle w:val="Heading1"/>
        <w:spacing w:after="160" w:before="320"/>
      </w:pPr>
      <w:r>
        <w:t xml:space="preserve">12. Hands-On: Generation With and Without the Cache</w:t>
      </w:r>
    </w:p>
    <w:p>
      <w:pPr>
        <w:spacing w:after="200" w:line="300"/>
      </w:pPr>
      <w:r>
        <w:t xml:space="preserve">The practical comparison runs in Google Colab with a GPU (a T4 at minimum) using Hugging Face Transformers and a small model, SmolLM2 with about 1.7 billion parameters. The setup is standard: load the tokenizer with AutoTokenizer, load the model, and move it to the device in float16 on CUDA (float32 otherwise). Call model.eval() to switch PyTorch into inference mode, then tokenize the prompt and move the inputs to the same device.</w:t>
      </w:r>
    </w:p>
    <w:p>
      <w:pPr>
        <w:spacing w:after="200" w:line="300"/>
      </w:pPr>
      <w:r>
        <w:t xml:space="preserve">In Transformers, KV caching is on by default (use_cache=True), so disabling it requires explicitly passing use_cache=False. The timing helper synchronizes CUDA before and after generation (GPU calls are asynchronous, so without this the clock would stop before the work actually finished), measures with time.perf_counter, and runs generation under torch.no_grad(), which marks it as prediction-only code with no gradients. Each setting generates up to 300 new tokens from a 4-token prompt, averaged over 3 runs.</w:t>
      </w:r>
    </w:p>
    <w:p>
      <w:pPr>
        <w:spacing w:after="200" w:line="300"/>
      </w:pPr>
      <w:r>
        <w:t xml:space="preserve">The result is clear. Without the cache, average generation time was about 15.8 seconds. With the cache, it dropped to about 8 seconds, saving roughly 7 seconds, a reduction of about 48.8 percent, or a speedup of about 1.9×. Remember that this is a small model with a short generation. Because the no-cache cost grows quadratically, the gap should widen for longer outputs and larger models. Serving frameworks such as vLLM enable KV caching automatically, so in real deployments you never turn it on by hand; the only reason to disable it, as here, is to demonstrate what it does.</w:t>
      </w:r>
    </w:p>
    <w:p>
      <w:pPr>
        <w:pStyle w:val="Heading1"/>
        <w:spacing w:after="160" w:before="320"/>
      </w:pPr>
      <w:r>
        <w:t xml:space="preserve">13. From MHA to Multi-Query Attention (MQA)</w:t>
      </w:r>
    </w:p>
    <w:p>
      <w:pPr>
        <w:spacing w:after="200" w:line="300"/>
      </w:pPr>
      <w:r>
        <w:t xml:space="preserve">In standard multi-head attention (MHA), every head has its own Q, K, and V projections. With 8 heads that is 8 × 3 = 24 separate projections, and the head outputs are concatenated afterwards. This is powerful because each head can pick up different patterns and relationships, but at inference time it means the KV cache stores K and V for every head and every previous token. In the memory formula, the number of KV heads equals the number of attention heads.</w:t>
      </w:r>
    </w:p>
    <w:p>
      <w:pPr>
        <w:spacing w:after="200" w:line="300"/>
      </w:pPr>
      <w:r>
        <w:t xml:space="preserve">Multi-query attention (MQA) changes exactly one thing: all query heads keep their own Q, but they share a single K and V pair. Because K and V are generated once per token and then read by every head, the cache shrinks by a factor equal to the number of heads. A 32-head model stores 32 times less. The input sequence length is the same in both designs, so the number of queries is unchanged; what changes is how many keys and values there are.</w:t>
      </w:r>
    </w:p>
    <w:tbl>
      <w:tblPr>
        <w:tblW w:type="dxa" w:w="9000"/>
        <w:tblBorders>
          <w:top w:val="single" w:color="C9BBAE" w:sz="4"/>
          <w:left w:val="single" w:color="C9BBAE" w:sz="4"/>
          <w:bottom w:val="single" w:color="C9BBAE" w:sz="4"/>
          <w:right w:val="single" w:color="C9BBAE" w:sz="4"/>
          <w:insideH w:val="single" w:color="C9BBAE" w:sz="4"/>
          <w:insideV w:val="single" w:color="C9BBAE" w:sz="4"/>
        </w:tblBorders>
      </w:tblPr>
      <w:tblGrid>
        <w:gridCol w:w="2900"/>
        <w:gridCol w:w="3000"/>
        <w:gridCol w:w="3100"/>
      </w:tblGrid>
      <w:tr>
        <w:trPr>
          <w:tblHeader/>
        </w:trPr>
        <w:tc>
          <w:tcPr>
            <w:tcW w:type="dxa" w:w="2900"/>
            <w:shd w:fill="EDE3DA" w:val="clear"/>
            <w:tcMar>
              <w:top w:type="dxa" w:w="80"/>
              <w:left w:type="dxa" w:w="100"/>
              <w:bottom w:type="dxa" w:w="80"/>
              <w:right w:type="dxa" w:w="100"/>
            </w:tcMar>
          </w:tcPr>
          <w:p>
            <w:r>
              <w:rPr>
                <w:b/>
                <w:bCs/>
              </w:rPr>
              <w:t xml:space="preserve">Property</w:t>
            </w:r>
          </w:p>
        </w:tc>
        <w:tc>
          <w:tcPr>
            <w:tcW w:type="dxa" w:w="3000"/>
            <w:shd w:fill="EDE3DA" w:val="clear"/>
            <w:tcMar>
              <w:top w:type="dxa" w:w="80"/>
              <w:left w:type="dxa" w:w="100"/>
              <w:bottom w:type="dxa" w:w="80"/>
              <w:right w:type="dxa" w:w="100"/>
            </w:tcMar>
          </w:tcPr>
          <w:p>
            <w:r>
              <w:rPr>
                <w:b/>
                <w:bCs/>
              </w:rPr>
              <w:t xml:space="preserve">MHA</w:t>
            </w:r>
          </w:p>
        </w:tc>
        <w:tc>
          <w:tcPr>
            <w:tcW w:type="dxa" w:w="3100"/>
            <w:shd w:fill="EDE3DA" w:val="clear"/>
            <w:tcMar>
              <w:top w:type="dxa" w:w="80"/>
              <w:left w:type="dxa" w:w="100"/>
              <w:bottom w:type="dxa" w:w="80"/>
              <w:right w:type="dxa" w:w="100"/>
            </w:tcMar>
          </w:tcPr>
          <w:p>
            <w:r>
              <w:rPr>
                <w:b/>
                <w:bCs/>
              </w:rPr>
              <w:t xml:space="preserve">MQA</w:t>
            </w:r>
          </w:p>
        </w:tc>
      </w:tr>
      <w:tr>
        <w:trPr>
          <w:cantSplit/>
        </w:trPr>
        <w:tc>
          <w:tcPr>
            <w:tcW w:type="dxa" w:w="2900"/>
            <w:tcMar>
              <w:top w:type="dxa" w:w="60"/>
              <w:left w:type="dxa" w:w="100"/>
              <w:bottom w:type="dxa" w:w="60"/>
              <w:right w:type="dxa" w:w="100"/>
            </w:tcMar>
          </w:tcPr>
          <w:p>
            <w:r>
              <w:t xml:space="preserve">Query heads</w:t>
            </w:r>
          </w:p>
        </w:tc>
        <w:tc>
          <w:tcPr>
            <w:tcW w:type="dxa" w:w="3000"/>
            <w:tcMar>
              <w:top w:type="dxa" w:w="60"/>
              <w:left w:type="dxa" w:w="100"/>
              <w:bottom w:type="dxa" w:w="60"/>
              <w:right w:type="dxa" w:w="100"/>
            </w:tcMar>
          </w:tcPr>
          <w:p>
            <w:r>
              <w:t xml:space="preserve">8</w:t>
            </w:r>
          </w:p>
        </w:tc>
        <w:tc>
          <w:tcPr>
            <w:tcW w:type="dxa" w:w="3100"/>
            <w:tcMar>
              <w:top w:type="dxa" w:w="60"/>
              <w:left w:type="dxa" w:w="100"/>
              <w:bottom w:type="dxa" w:w="60"/>
              <w:right w:type="dxa" w:w="100"/>
            </w:tcMar>
          </w:tcPr>
          <w:p>
            <w:r>
              <w:t xml:space="preserve">8 (unchanged)</w:t>
            </w:r>
          </w:p>
        </w:tc>
      </w:tr>
      <w:tr>
        <w:trPr>
          <w:cantSplit/>
        </w:trPr>
        <w:tc>
          <w:tcPr>
            <w:tcW w:type="dxa" w:w="2900"/>
            <w:tcMar>
              <w:top w:type="dxa" w:w="60"/>
              <w:left w:type="dxa" w:w="100"/>
              <w:bottom w:type="dxa" w:w="60"/>
              <w:right w:type="dxa" w:w="100"/>
            </w:tcMar>
          </w:tcPr>
          <w:p>
            <w:r>
              <w:t xml:space="preserve">Query projection dimension</w:t>
            </w:r>
          </w:p>
        </w:tc>
        <w:tc>
          <w:tcPr>
            <w:tcW w:type="dxa" w:w="3000"/>
            <w:tcMar>
              <w:top w:type="dxa" w:w="60"/>
              <w:left w:type="dxa" w:w="100"/>
              <w:bottom w:type="dxa" w:w="60"/>
              <w:right w:type="dxa" w:w="100"/>
            </w:tcMar>
          </w:tcPr>
          <w:p>
            <w:r>
              <w:t xml:space="preserve">512 (8 × 64)</w:t>
            </w:r>
          </w:p>
        </w:tc>
        <w:tc>
          <w:tcPr>
            <w:tcW w:type="dxa" w:w="3100"/>
            <w:tcMar>
              <w:top w:type="dxa" w:w="60"/>
              <w:left w:type="dxa" w:w="100"/>
              <w:bottom w:type="dxa" w:w="60"/>
              <w:right w:type="dxa" w:w="100"/>
            </w:tcMar>
          </w:tcPr>
          <w:p>
            <w:r>
              <w:t xml:space="preserve">512 (unchanged)</w:t>
            </w:r>
          </w:p>
        </w:tc>
      </w:tr>
      <w:tr>
        <w:trPr>
          <w:cantSplit/>
        </w:trPr>
        <w:tc>
          <w:tcPr>
            <w:tcW w:type="dxa" w:w="2900"/>
            <w:tcMar>
              <w:top w:type="dxa" w:w="60"/>
              <w:left w:type="dxa" w:w="100"/>
              <w:bottom w:type="dxa" w:w="60"/>
              <w:right w:type="dxa" w:w="100"/>
            </w:tcMar>
          </w:tcPr>
          <w:p>
            <w:r>
              <w:t xml:space="preserve">K and V heads</w:t>
            </w:r>
          </w:p>
        </w:tc>
        <w:tc>
          <w:tcPr>
            <w:tcW w:type="dxa" w:w="3000"/>
            <w:tcMar>
              <w:top w:type="dxa" w:w="60"/>
              <w:left w:type="dxa" w:w="100"/>
              <w:bottom w:type="dxa" w:w="60"/>
              <w:right w:type="dxa" w:w="100"/>
            </w:tcMar>
          </w:tcPr>
          <w:p>
            <w:r>
              <w:t xml:space="preserve">8 each</w:t>
            </w:r>
          </w:p>
        </w:tc>
        <w:tc>
          <w:tcPr>
            <w:tcW w:type="dxa" w:w="3100"/>
            <w:tcMar>
              <w:top w:type="dxa" w:w="60"/>
              <w:left w:type="dxa" w:w="100"/>
              <w:bottom w:type="dxa" w:w="60"/>
              <w:right w:type="dxa" w:w="100"/>
            </w:tcMar>
          </w:tcPr>
          <w:p>
            <w:r>
              <w:t xml:space="preserve">1 each, shared by all query heads</w:t>
            </w:r>
          </w:p>
        </w:tc>
      </w:tr>
      <w:tr>
        <w:trPr>
          <w:cantSplit/>
        </w:trPr>
        <w:tc>
          <w:tcPr>
            <w:tcW w:type="dxa" w:w="2900"/>
            <w:tcMar>
              <w:top w:type="dxa" w:w="60"/>
              <w:left w:type="dxa" w:w="100"/>
              <w:bottom w:type="dxa" w:w="60"/>
              <w:right w:type="dxa" w:w="100"/>
            </w:tcMar>
          </w:tcPr>
          <w:p>
            <w:r>
              <w:t xml:space="preserve">K and V projection dimension</w:t>
            </w:r>
          </w:p>
        </w:tc>
        <w:tc>
          <w:tcPr>
            <w:tcW w:type="dxa" w:w="3000"/>
            <w:tcMar>
              <w:top w:type="dxa" w:w="60"/>
              <w:left w:type="dxa" w:w="100"/>
              <w:bottom w:type="dxa" w:w="60"/>
              <w:right w:type="dxa" w:w="100"/>
            </w:tcMar>
          </w:tcPr>
          <w:p>
            <w:r>
              <w:t xml:space="preserve">512 each (8 × 64)</w:t>
            </w:r>
          </w:p>
        </w:tc>
        <w:tc>
          <w:tcPr>
            <w:tcW w:type="dxa" w:w="3100"/>
            <w:tcMar>
              <w:top w:type="dxa" w:w="60"/>
              <w:left w:type="dxa" w:w="100"/>
              <w:bottom w:type="dxa" w:w="60"/>
              <w:right w:type="dxa" w:w="100"/>
            </w:tcMar>
          </w:tcPr>
          <w:p>
            <w:r>
              <w:t xml:space="preserve">Smaller, e.g. 64 each</w:t>
            </w:r>
          </w:p>
        </w:tc>
      </w:tr>
      <w:tr>
        <w:trPr>
          <w:cantSplit/>
        </w:trPr>
        <w:tc>
          <w:tcPr>
            <w:tcW w:type="dxa" w:w="2900"/>
            <w:tcMar>
              <w:top w:type="dxa" w:w="60"/>
              <w:left w:type="dxa" w:w="100"/>
              <w:bottom w:type="dxa" w:w="60"/>
              <w:right w:type="dxa" w:w="100"/>
            </w:tcMar>
          </w:tcPr>
          <w:p>
            <w:r>
              <w:t xml:space="preserve">KV cache size</w:t>
            </w:r>
          </w:p>
        </w:tc>
        <w:tc>
          <w:tcPr>
            <w:tcW w:type="dxa" w:w="3000"/>
            <w:tcMar>
              <w:top w:type="dxa" w:w="60"/>
              <w:left w:type="dxa" w:w="100"/>
              <w:bottom w:type="dxa" w:w="60"/>
              <w:right w:type="dxa" w:w="100"/>
            </w:tcMar>
          </w:tcPr>
          <w:p>
            <w:r>
              <w:t xml:space="preserve">Baseline</w:t>
            </w:r>
          </w:p>
        </w:tc>
        <w:tc>
          <w:tcPr>
            <w:tcW w:type="dxa" w:w="3100"/>
            <w:tcMar>
              <w:top w:type="dxa" w:w="60"/>
              <w:left w:type="dxa" w:w="100"/>
              <w:bottom w:type="dxa" w:w="60"/>
              <w:right w:type="dxa" w:w="100"/>
            </w:tcMar>
          </w:tcPr>
          <w:p>
            <w:r>
              <w:t xml:space="preserve">About 1/8 (1/32 for a 32-head model)</w:t>
            </w:r>
          </w:p>
        </w:tc>
      </w:tr>
      <w:tr>
        <w:trPr>
          <w:cantSplit/>
        </w:trPr>
        <w:tc>
          <w:tcPr>
            <w:tcW w:type="dxa" w:w="2900"/>
            <w:tcMar>
              <w:top w:type="dxa" w:w="60"/>
              <w:left w:type="dxa" w:w="100"/>
              <w:bottom w:type="dxa" w:w="60"/>
              <w:right w:type="dxa" w:w="100"/>
            </w:tcMar>
          </w:tcPr>
          <w:p>
            <w:r>
              <w:t xml:space="preserve">Attention diversity</w:t>
            </w:r>
          </w:p>
        </w:tc>
        <w:tc>
          <w:tcPr>
            <w:tcW w:type="dxa" w:w="3000"/>
            <w:tcMar>
              <w:top w:type="dxa" w:w="60"/>
              <w:left w:type="dxa" w:w="100"/>
              <w:bottom w:type="dxa" w:w="60"/>
              <w:right w:type="dxa" w:w="100"/>
            </w:tcMar>
          </w:tcPr>
          <w:p>
            <w:r>
              <w:t xml:space="preserve">High</w:t>
            </w:r>
          </w:p>
        </w:tc>
        <w:tc>
          <w:tcPr>
            <w:tcW w:type="dxa" w:w="3100"/>
            <w:tcMar>
              <w:top w:type="dxa" w:w="60"/>
              <w:left w:type="dxa" w:w="100"/>
              <w:bottom w:type="dxa" w:w="60"/>
              <w:right w:type="dxa" w:w="100"/>
            </w:tcMar>
          </w:tcPr>
          <w:p>
            <w:r>
              <w:t xml:space="preserve">Lower</w:t>
            </w:r>
          </w:p>
        </w:tc>
      </w:tr>
    </w:tbl>
    <w:p>
      <w:pPr>
        <w:spacing w:after="100"/>
      </w:pPr>
    </w:p>
    <w:p>
      <w:pPr>
        <w:pBdr>
          <w:left w:val="single" w:color="8B2E2E" w:sz="24" w:space="8"/>
        </w:pBdr>
        <w:shd w:fill="FBEEE6" w:val="clear"/>
        <w:spacing w:after="60" w:before="160"/>
        <w:ind w:left="100"/>
      </w:pPr>
      <w:r>
        <w:rPr>
          <w:b/>
          <w:bCs/>
          <w:color w:val="8B2E2E"/>
        </w:rPr>
        <w:t xml:space="preserve">⭑ Important — MQA changes the projection, not the number of heads</w:t>
      </w:r>
    </w:p>
    <w:p>
      <w:pPr>
        <w:pBdr>
          <w:left w:val="single" w:color="8B2E2E" w:sz="24" w:space="8"/>
        </w:pBdr>
        <w:shd w:fill="FBEEE6" w:val="clear"/>
        <w:spacing w:after="220" w:before="0"/>
        <w:ind w:left="100"/>
      </w:pPr>
      <w:r>
        <w:t xml:space="preserve">This is the point most people get confused about, so keep it straight. The number of query heads does not change, and the query projection stays at its full size (512 in this example, as 8 heads × 64). What shrinks is the K and V projection: their weight matrices output a single head-sized dimension (64 here) instead of 512, which is always lower than the embedding dimension, and that single K and V is used by every query head. Q is never reduced, because the attention calculation depends on it. There is no dimension mismatch, because each head's 64-dimensional query still pairs with the 64-dimensional shared key in exactly the same dot product as before.</w:t>
      </w:r>
    </w:p>
    <w:p>
      <w:pPr>
        <w:pStyle w:val="Heading1"/>
        <w:spacing w:after="160" w:before="320"/>
      </w:pPr>
      <w:r>
        <w:t xml:space="preserve">14. How MQA Behaves, What It Costs, and Where It Stands</w:t>
      </w:r>
    </w:p>
    <w:p>
      <w:pPr>
        <w:spacing w:after="200" w:line="300"/>
      </w:pPr>
      <w:r>
        <w:t xml:space="preserve">The attention formula itself does not change: each head still computes softmax( Q · K-transpose / √d_k ) · V. The heads also still produce different attention patterns, because each has its own queries; two heads never end up with identical attention scores. What is lost is variety on the key and value side, since every head now attends over the same shared K and V. This is the main trade-off: attention diversity goes down, so the model has fewer distinct patterns to draw on.</w:t>
      </w:r>
    </w:p>
    <w:p>
      <w:pPr>
        <w:spacing w:after="200" w:line="300"/>
      </w:pPr>
      <w:r>
        <w:t xml:space="preserve">People often wonder how eight heads can 'update' one shared K and V without conflicting. They don't. For each token, K and V are generated once and then only read by all the query heads, so it is one write and many reads. Training is otherwise unchanged: the smaller K and V projection matrices are learned through ordinary backpropagation, exactly as before. In generation, once K and V have been produced for a token, they are never modified.</w:t>
      </w:r>
    </w:p>
    <w:p>
      <w:pPr>
        <w:spacing w:after="200" w:line="300"/>
      </w:pPr>
      <w:r>
        <w:t xml:space="preserve">The cost in quality is small. The 2019 paper that introduced MQA, 'Fast Transformer Decoding: One Write-Head Is All You Need', reported BLEU scores of about 26.7 for MHA versus 26.5 for MQA, and a quality drop of roughly 1 to 2 percent is the usual summary, which is generally acceptable. Some results were reported with beam search, an older decoding method rarely used in recent LLMs, so it can safely be skipped here. The paper was posted to arXiv rather than published at a conference, and its value is not raw quality: compared on quality alone, MHA looks marginally better.</w:t>
      </w:r>
    </w:p>
    <w:p>
      <w:pPr>
        <w:spacing w:after="200" w:line="300"/>
      </w:pPr>
      <w:r>
        <w:t xml:space="preserve">The benefits are on the inference side. A smaller cache means more room in VRAM for more requests, and less data has to be moved between memory and the compute units on every decode step, which eases the memory wall and makes generation faster. In short, MQA trades a little quality for a large reduction in cache size and a real speedup in serving.</w:t>
      </w:r>
    </w:p>
    <w:p>
      <w:pPr>
        <w:spacing w:after="200" w:line="300"/>
      </w:pPr>
      <w:r>
        <w:t xml:space="preserve">MQA is a training-time decision. The shared K and V design has to be present when the model is trained, so you cannot take a model trained with MHA and switch it to MQA when serving it. On its own, MQA is also rarely used today. Its quality cost motivated a middle ground, grouped-query attention (GQA, from 2023), which uses more than one but fewer than all KV heads; GQA is widely used now and is generally the better default in 2026. DeepSeek's multi-head latent attention (MLA) is a further route, and both are the subject of the next class.</w:t>
      </w:r>
    </w:p>
    <w:p>
      <w:pPr>
        <w:pStyle w:val="Heading1"/>
        <w:spacing w:after="160" w:before="320"/>
      </w:pPr>
      <w:r>
        <w:t xml:space="preserve">Closing Notes / What's Next</w:t>
      </w:r>
    </w:p>
    <w:p>
      <w:pPr>
        <w:spacing w:after="200" w:line="300"/>
      </w:pPr>
      <w:r>
        <w:t xml:space="preserve">This class built the core of inference engineering from first principles: why naive decoding recomputes unchanging K and V at every step (quadratic work), how the KV cache removes that waste (linear work), the two phases of every request (parallel prefill and sequential decode) and the metrics tied to each, why the memory wall turns the cache into a memory problem, how to calculate the cache by hand, and how multi-query attention reduces it by sharing K and V across heads.</w:t>
      </w:r>
    </w:p>
    <w:p>
      <w:pPr>
        <w:spacing w:after="200" w:line="300"/>
      </w:pPr>
      <w:r>
        <w:t xml:space="preserve">The next class picks up from here: grouped-query attention as the middle ground between MHA and MQA, then multi-head latent attention, and likely RoPE for positional encoding, with paged attention and prefix caching expected after that. Before then, re-run the with-and-without-cache notebook in Colab and make sure you can reproduce the 64 KB per token calculation by hand, since the later attention variants are all judged against that formula.</w:t>
      </w:r>
    </w:p>
    <w:p>
      <w:pPr>
        <w:pStyle w:val="Heading1"/>
        <w:spacing w:after="160" w:before="320"/>
      </w:pPr>
      <w:r>
        <w:t xml:space="preserve">Quick-Reference Glossary</w:t>
      </w:r>
    </w:p>
    <w:tbl>
      <w:tblPr>
        <w:tblW w:type="dxa" w:w="9000"/>
        <w:tblBorders>
          <w:top w:val="single" w:color="C9BBAE" w:sz="4"/>
          <w:left w:val="single" w:color="C9BBAE" w:sz="4"/>
          <w:bottom w:val="single" w:color="C9BBAE" w:sz="4"/>
          <w:right w:val="single" w:color="C9BBAE" w:sz="4"/>
          <w:insideH w:val="single" w:color="C9BBAE" w:sz="4"/>
          <w:insideV w:val="single" w:color="C9BBAE" w:sz="4"/>
        </w:tblBorders>
      </w:tblPr>
      <w:tblGrid>
        <w:gridCol w:w="2800"/>
        <w:gridCol w:w="6200"/>
      </w:tblGrid>
      <w:tr>
        <w:trPr>
          <w:tblHeader/>
        </w:trPr>
        <w:tc>
          <w:tcPr>
            <w:tcW w:type="dxa" w:w="2800"/>
            <w:shd w:fill="EDE3DA" w:val="clear"/>
            <w:tcMar>
              <w:top w:type="dxa" w:w="80"/>
              <w:left w:type="dxa" w:w="100"/>
              <w:bottom w:type="dxa" w:w="80"/>
              <w:right w:type="dxa" w:w="100"/>
            </w:tcMar>
          </w:tcPr>
          <w:p>
            <w:r>
              <w:rPr>
                <w:b/>
                <w:bCs/>
              </w:rPr>
              <w:t xml:space="preserve">Term</w:t>
            </w:r>
          </w:p>
        </w:tc>
        <w:tc>
          <w:tcPr>
            <w:tcW w:type="dxa" w:w="6200"/>
            <w:shd w:fill="EDE3DA" w:val="clear"/>
            <w:tcMar>
              <w:top w:type="dxa" w:w="80"/>
              <w:left w:type="dxa" w:w="100"/>
              <w:bottom w:type="dxa" w:w="80"/>
              <w:right w:type="dxa" w:w="100"/>
            </w:tcMar>
          </w:tcPr>
          <w:p>
            <w:r>
              <w:rPr>
                <w:b/>
                <w:bCs/>
              </w:rPr>
              <w:t xml:space="preserve">Meaning</w:t>
            </w:r>
          </w:p>
        </w:tc>
      </w:tr>
      <w:tr>
        <w:trPr>
          <w:cantSplit/>
        </w:trPr>
        <w:tc>
          <w:tcPr>
            <w:tcW w:type="dxa" w:w="2800"/>
            <w:tcMar>
              <w:top w:type="dxa" w:w="60"/>
              <w:left w:type="dxa" w:w="100"/>
              <w:bottom w:type="dxa" w:w="60"/>
              <w:right w:type="dxa" w:w="100"/>
            </w:tcMar>
          </w:tcPr>
          <w:p>
            <w:r>
              <w:t xml:space="preserve">KV cache</w:t>
            </w:r>
          </w:p>
        </w:tc>
        <w:tc>
          <w:tcPr>
            <w:tcW w:type="dxa" w:w="6200"/>
            <w:tcMar>
              <w:top w:type="dxa" w:w="60"/>
              <w:left w:type="dxa" w:w="100"/>
              <w:bottom w:type="dxa" w:w="60"/>
              <w:right w:type="dxa" w:w="100"/>
            </w:tcMar>
          </w:tcPr>
          <w:p>
            <w:r>
              <w:t xml:space="preserve">Stored K and V tensors for tokens already processed, kept in GPU VRAM so each token's K and V are computed only once instead of at every decoding step.</w:t>
            </w:r>
          </w:p>
        </w:tc>
      </w:tr>
      <w:tr>
        <w:trPr>
          <w:cantSplit/>
        </w:trPr>
        <w:tc>
          <w:tcPr>
            <w:tcW w:type="dxa" w:w="2800"/>
            <w:tcMar>
              <w:top w:type="dxa" w:w="60"/>
              <w:left w:type="dxa" w:w="100"/>
              <w:bottom w:type="dxa" w:w="60"/>
              <w:right w:type="dxa" w:w="100"/>
            </w:tcMar>
          </w:tcPr>
          <w:p>
            <w:r>
              <w:t xml:space="preserve">Naive decoding</w:t>
            </w:r>
          </w:p>
        </w:tc>
        <w:tc>
          <w:tcPr>
            <w:tcW w:type="dxa" w:w="6200"/>
            <w:tcMar>
              <w:top w:type="dxa" w:w="60"/>
              <w:left w:type="dxa" w:w="100"/>
              <w:bottom w:type="dxa" w:w="60"/>
              <w:right w:type="dxa" w:w="100"/>
            </w:tcMar>
          </w:tcPr>
          <w:p>
            <w:r>
              <w:t xml:space="preserve">Autoregressive generation with no cache, recomputing K and V for every token already in the sequence at every step.</w:t>
            </w:r>
          </w:p>
        </w:tc>
      </w:tr>
      <w:tr>
        <w:trPr>
          <w:cantSplit/>
        </w:trPr>
        <w:tc>
          <w:tcPr>
            <w:tcW w:type="dxa" w:w="2800"/>
            <w:tcMar>
              <w:top w:type="dxa" w:w="60"/>
              <w:left w:type="dxa" w:w="100"/>
              <w:bottom w:type="dxa" w:w="60"/>
              <w:right w:type="dxa" w:w="100"/>
            </w:tcMar>
          </w:tcPr>
          <w:p>
            <w:r>
              <w:t xml:space="preserve">Autoregressive property</w:t>
            </w:r>
          </w:p>
        </w:tc>
        <w:tc>
          <w:tcPr>
            <w:tcW w:type="dxa" w:w="6200"/>
            <w:tcMar>
              <w:top w:type="dxa" w:w="60"/>
              <w:left w:type="dxa" w:w="100"/>
              <w:bottom w:type="dxa" w:w="60"/>
              <w:right w:type="dxa" w:w="100"/>
            </w:tcMar>
          </w:tcPr>
          <w:p>
            <w:r>
              <w:t xml:space="preserve">A decoder generates exactly one token per step, each depending on everything before it, which makes decoding sequential.</w:t>
            </w:r>
          </w:p>
        </w:tc>
      </w:tr>
      <w:tr>
        <w:trPr>
          <w:cantSplit/>
        </w:trPr>
        <w:tc>
          <w:tcPr>
            <w:tcW w:type="dxa" w:w="2800"/>
            <w:tcMar>
              <w:top w:type="dxa" w:w="60"/>
              <w:left w:type="dxa" w:w="100"/>
              <w:bottom w:type="dxa" w:w="60"/>
              <w:right w:type="dxa" w:w="100"/>
            </w:tcMar>
          </w:tcPr>
          <w:p>
            <w:r>
              <w:t xml:space="preserve">Causal mask</w:t>
            </w:r>
          </w:p>
        </w:tc>
        <w:tc>
          <w:tcPr>
            <w:tcW w:type="dxa" w:w="6200"/>
            <w:tcMar>
              <w:top w:type="dxa" w:w="60"/>
              <w:left w:type="dxa" w:w="100"/>
              <w:bottom w:type="dxa" w:w="60"/>
              <w:right w:type="dxa" w:w="100"/>
            </w:tcMar>
          </w:tcPr>
          <w:p>
            <w:r>
              <w:t xml:space="preserve">A matrix of minus-infinity values applied to attention scores so each query can attend only to itself and earlier positions; softmax turns the blocked scores into zero weight.</w:t>
            </w:r>
          </w:p>
        </w:tc>
      </w:tr>
      <w:tr>
        <w:trPr>
          <w:cantSplit/>
        </w:trPr>
        <w:tc>
          <w:tcPr>
            <w:tcW w:type="dxa" w:w="2800"/>
            <w:tcMar>
              <w:top w:type="dxa" w:w="60"/>
              <w:left w:type="dxa" w:w="100"/>
              <w:bottom w:type="dxa" w:w="60"/>
              <w:right w:type="dxa" w:w="100"/>
            </w:tcMar>
          </w:tcPr>
          <w:p>
            <w:r>
              <w:t xml:space="preserve">Prefill phase</w:t>
            </w:r>
          </w:p>
        </w:tc>
        <w:tc>
          <w:tcPr>
            <w:tcW w:type="dxa" w:w="6200"/>
            <w:tcMar>
              <w:top w:type="dxa" w:w="60"/>
              <w:left w:type="dxa" w:w="100"/>
              <w:bottom w:type="dxa" w:w="60"/>
              <w:right w:type="dxa" w:w="100"/>
            </w:tcMar>
          </w:tcPr>
          <w:p>
            <w:r>
              <w:t xml:space="preserve">The first phase of inference: the whole prompt is processed (in parallel) and K and V for every prompt token are stored, producing a ready KV cache.</w:t>
            </w:r>
          </w:p>
        </w:tc>
      </w:tr>
      <w:tr>
        <w:trPr>
          <w:cantSplit/>
        </w:trPr>
        <w:tc>
          <w:tcPr>
            <w:tcW w:type="dxa" w:w="2800"/>
            <w:tcMar>
              <w:top w:type="dxa" w:w="60"/>
              <w:left w:type="dxa" w:w="100"/>
              <w:bottom w:type="dxa" w:w="60"/>
              <w:right w:type="dxa" w:w="100"/>
            </w:tcMar>
          </w:tcPr>
          <w:p>
            <w:r>
              <w:t xml:space="preserve">Decode phase</w:t>
            </w:r>
          </w:p>
        </w:tc>
        <w:tc>
          <w:tcPr>
            <w:tcW w:type="dxa" w:w="6200"/>
            <w:tcMar>
              <w:top w:type="dxa" w:w="60"/>
              <w:left w:type="dxa" w:w="100"/>
              <w:bottom w:type="dxa" w:w="60"/>
              <w:right w:type="dxa" w:w="100"/>
            </w:tcMar>
          </w:tcPr>
          <w:p>
            <w:r>
              <w:t xml:space="preserve">The second phase: tokens are generated one at a time, each step reading the cache and appending one new K and V pair.</w:t>
            </w:r>
          </w:p>
        </w:tc>
      </w:tr>
      <w:tr>
        <w:trPr>
          <w:cantSplit/>
        </w:trPr>
        <w:tc>
          <w:tcPr>
            <w:tcW w:type="dxa" w:w="2800"/>
            <w:tcMar>
              <w:top w:type="dxa" w:w="60"/>
              <w:left w:type="dxa" w:w="100"/>
              <w:bottom w:type="dxa" w:w="60"/>
              <w:right w:type="dxa" w:w="100"/>
            </w:tcMar>
          </w:tcPr>
          <w:p>
            <w:r>
              <w:t xml:space="preserve">TTFT (time to first token)</w:t>
            </w:r>
          </w:p>
        </w:tc>
        <w:tc>
          <w:tcPr>
            <w:tcW w:type="dxa" w:w="6200"/>
            <w:tcMar>
              <w:top w:type="dxa" w:w="60"/>
              <w:left w:type="dxa" w:w="100"/>
              <w:bottom w:type="dxa" w:w="60"/>
              <w:right w:type="dxa" w:w="100"/>
            </w:tcMar>
          </w:tcPr>
          <w:p>
            <w:r>
              <w:t xml:space="preserve">The delay from sending a prompt to receiving the first generated token; driven mainly by prefill and the metric users feel most.</w:t>
            </w:r>
          </w:p>
        </w:tc>
      </w:tr>
      <w:tr>
        <w:trPr>
          <w:cantSplit/>
        </w:trPr>
        <w:tc>
          <w:tcPr>
            <w:tcW w:type="dxa" w:w="2800"/>
            <w:tcMar>
              <w:top w:type="dxa" w:w="60"/>
              <w:left w:type="dxa" w:w="100"/>
              <w:bottom w:type="dxa" w:w="60"/>
              <w:right w:type="dxa" w:w="100"/>
            </w:tcMar>
          </w:tcPr>
          <w:p>
            <w:r>
              <w:t xml:space="preserve">TPOT / TPS</w:t>
            </w:r>
          </w:p>
        </w:tc>
        <w:tc>
          <w:tcPr>
            <w:tcW w:type="dxa" w:w="6200"/>
            <w:tcMar>
              <w:top w:type="dxa" w:w="60"/>
              <w:left w:type="dxa" w:w="100"/>
              <w:bottom w:type="dxa" w:w="60"/>
              <w:right w:type="dxa" w:w="100"/>
            </w:tcMar>
          </w:tcPr>
          <w:p>
            <w:r>
              <w:t xml:space="preserve">Time per output token (the average gap between generated tokens, roughly 20 to 30 ms) and its inverse, tokens per second.</w:t>
            </w:r>
          </w:p>
        </w:tc>
      </w:tr>
      <w:tr>
        <w:trPr>
          <w:cantSplit/>
        </w:trPr>
        <w:tc>
          <w:tcPr>
            <w:tcW w:type="dxa" w:w="2800"/>
            <w:tcMar>
              <w:top w:type="dxa" w:w="60"/>
              <w:left w:type="dxa" w:w="100"/>
              <w:bottom w:type="dxa" w:w="60"/>
              <w:right w:type="dxa" w:w="100"/>
            </w:tcMar>
          </w:tcPr>
          <w:p>
            <w:r>
              <w:t xml:space="preserve">TFLOPS</w:t>
            </w:r>
          </w:p>
        </w:tc>
        <w:tc>
          <w:tcPr>
            <w:tcW w:type="dxa" w:w="6200"/>
            <w:tcMar>
              <w:top w:type="dxa" w:w="60"/>
              <w:left w:type="dxa" w:w="100"/>
              <w:bottom w:type="dxa" w:w="60"/>
              <w:right w:type="dxa" w:w="100"/>
            </w:tcMar>
          </w:tcPr>
          <w:p>
            <w:r>
              <w:t xml:space="preserve">Tera (trillion) floating-point operations per second, the standard unit for rating GPU compute throughput.</w:t>
            </w:r>
          </w:p>
        </w:tc>
      </w:tr>
      <w:tr>
        <w:trPr>
          <w:cantSplit/>
        </w:trPr>
        <w:tc>
          <w:tcPr>
            <w:tcW w:type="dxa" w:w="2800"/>
            <w:tcMar>
              <w:top w:type="dxa" w:w="60"/>
              <w:left w:type="dxa" w:w="100"/>
              <w:bottom w:type="dxa" w:w="60"/>
              <w:right w:type="dxa" w:w="100"/>
            </w:tcMar>
          </w:tcPr>
          <w:p>
            <w:r>
              <w:t xml:space="preserve">Memory bandwidth</w:t>
            </w:r>
          </w:p>
        </w:tc>
        <w:tc>
          <w:tcPr>
            <w:tcW w:type="dxa" w:w="6200"/>
            <w:tcMar>
              <w:top w:type="dxa" w:w="60"/>
              <w:left w:type="dxa" w:w="100"/>
              <w:bottom w:type="dxa" w:w="60"/>
              <w:right w:type="dxa" w:w="100"/>
            </w:tcMar>
          </w:tcPr>
          <w:p>
            <w:r>
              <w:t xml:space="preserve">How much data can be moved to the GPU per second; when it is too low, compute sits idle waiting for data.</w:t>
            </w:r>
          </w:p>
        </w:tc>
      </w:tr>
      <w:tr>
        <w:trPr>
          <w:cantSplit/>
        </w:trPr>
        <w:tc>
          <w:tcPr>
            <w:tcW w:type="dxa" w:w="2800"/>
            <w:tcMar>
              <w:top w:type="dxa" w:w="60"/>
              <w:left w:type="dxa" w:w="100"/>
              <w:bottom w:type="dxa" w:w="60"/>
              <w:right w:type="dxa" w:w="100"/>
            </w:tcMar>
          </w:tcPr>
          <w:p>
            <w:r>
              <w:t xml:space="preserve">Arithmetic intensity</w:t>
            </w:r>
          </w:p>
        </w:tc>
        <w:tc>
          <w:tcPr>
            <w:tcW w:type="dxa" w:w="6200"/>
            <w:tcMar>
              <w:top w:type="dxa" w:w="60"/>
              <w:left w:type="dxa" w:w="100"/>
              <w:bottom w:type="dxa" w:w="60"/>
              <w:right w:type="dxa" w:w="100"/>
            </w:tcMar>
          </w:tcPr>
          <w:p>
            <w:r>
              <w:t xml:space="preserve">How much computation is performed per byte of data moved from memory; high intensity means the GPU's compute is being well used.</w:t>
            </w:r>
          </w:p>
        </w:tc>
      </w:tr>
      <w:tr>
        <w:trPr>
          <w:cantSplit/>
        </w:trPr>
        <w:tc>
          <w:tcPr>
            <w:tcW w:type="dxa" w:w="2800"/>
            <w:tcMar>
              <w:top w:type="dxa" w:w="60"/>
              <w:left w:type="dxa" w:w="100"/>
              <w:bottom w:type="dxa" w:w="60"/>
              <w:right w:type="dxa" w:w="100"/>
            </w:tcMar>
          </w:tcPr>
          <w:p>
            <w:r>
              <w:t xml:space="preserve">Memory wall</w:t>
            </w:r>
          </w:p>
        </w:tc>
        <w:tc>
          <w:tcPr>
            <w:tcW w:type="dxa" w:w="6200"/>
            <w:tcMar>
              <w:top w:type="dxa" w:w="60"/>
              <w:left w:type="dxa" w:w="100"/>
              <w:bottom w:type="dxa" w:w="60"/>
              <w:right w:type="dxa" w:w="100"/>
            </w:tcMar>
          </w:tcPr>
          <w:p>
            <w:r>
              <w:t xml:space="preserve">The situation where processors can compute faster than the memory system can deliver data, making memory bandwidth the bottleneck.</w:t>
            </w:r>
          </w:p>
        </w:tc>
      </w:tr>
      <w:tr>
        <w:trPr>
          <w:cantSplit/>
        </w:trPr>
        <w:tc>
          <w:tcPr>
            <w:tcW w:type="dxa" w:w="2800"/>
            <w:tcMar>
              <w:top w:type="dxa" w:w="60"/>
              <w:left w:type="dxa" w:w="100"/>
              <w:bottom w:type="dxa" w:w="60"/>
              <w:right w:type="dxa" w:w="100"/>
            </w:tcMar>
          </w:tcPr>
          <w:p>
            <w:r>
              <w:t xml:space="preserve">VRAM</w:t>
            </w:r>
          </w:p>
        </w:tc>
        <w:tc>
          <w:tcPr>
            <w:tcW w:type="dxa" w:w="6200"/>
            <w:tcMar>
              <w:top w:type="dxa" w:w="60"/>
              <w:left w:type="dxa" w:w="100"/>
              <w:bottom w:type="dxa" w:w="60"/>
              <w:right w:type="dxa" w:w="100"/>
            </w:tcMar>
          </w:tcPr>
          <w:p>
            <w:r>
              <w:t xml:space="preserve">The GPU's own memory, where model weights and the KV cache reside, as distinct from the system's main RAM.</w:t>
            </w:r>
          </w:p>
        </w:tc>
      </w:tr>
      <w:tr>
        <w:trPr>
          <w:cantSplit/>
        </w:trPr>
        <w:tc>
          <w:tcPr>
            <w:tcW w:type="dxa" w:w="2800"/>
            <w:tcMar>
              <w:top w:type="dxa" w:w="60"/>
              <w:left w:type="dxa" w:w="100"/>
              <w:bottom w:type="dxa" w:w="60"/>
              <w:right w:type="dxa" w:w="100"/>
            </w:tcMar>
          </w:tcPr>
          <w:p>
            <w:r>
              <w:t xml:space="preserve">KV memory per token</w:t>
            </w:r>
          </w:p>
        </w:tc>
        <w:tc>
          <w:tcPr>
            <w:tcW w:type="dxa" w:w="6200"/>
            <w:tcMar>
              <w:top w:type="dxa" w:w="60"/>
              <w:left w:type="dxa" w:w="100"/>
              <w:bottom w:type="dxa" w:w="60"/>
              <w:right w:type="dxa" w:w="100"/>
            </w:tcMar>
          </w:tcPr>
          <w:p>
            <w:r>
              <w:t xml:space="preserve">2 × KV heads × head dimension × layers × bytes per value; multiplied by sequence length and batch size for the total cache.</w:t>
            </w:r>
          </w:p>
        </w:tc>
      </w:tr>
      <w:tr>
        <w:trPr>
          <w:cantSplit/>
        </w:trPr>
        <w:tc>
          <w:tcPr>
            <w:tcW w:type="dxa" w:w="2800"/>
            <w:tcMar>
              <w:top w:type="dxa" w:w="60"/>
              <w:left w:type="dxa" w:w="100"/>
              <w:bottom w:type="dxa" w:w="60"/>
              <w:right w:type="dxa" w:w="100"/>
            </w:tcMar>
          </w:tcPr>
          <w:p>
            <w:r>
              <w:t xml:space="preserve">Bytes per value (FP16 / BF16 / FP32)</w:t>
            </w:r>
          </w:p>
        </w:tc>
        <w:tc>
          <w:tcPr>
            <w:tcW w:type="dxa" w:w="6200"/>
            <w:tcMar>
              <w:top w:type="dxa" w:w="60"/>
              <w:left w:type="dxa" w:w="100"/>
              <w:bottom w:type="dxa" w:w="60"/>
              <w:right w:type="dxa" w:w="100"/>
            </w:tcMar>
          </w:tcPr>
          <w:p>
            <w:r>
              <w:t xml:space="preserve">FP16 and BF16 use 2 bytes, FP32 uses 4, and FP64 uses 8; moving to wider types multiplies cache memory accordingly.</w:t>
            </w:r>
          </w:p>
        </w:tc>
      </w:tr>
      <w:tr>
        <w:trPr>
          <w:cantSplit/>
        </w:trPr>
        <w:tc>
          <w:tcPr>
            <w:tcW w:type="dxa" w:w="2800"/>
            <w:tcMar>
              <w:top w:type="dxa" w:w="60"/>
              <w:left w:type="dxa" w:w="100"/>
              <w:bottom w:type="dxa" w:w="60"/>
              <w:right w:type="dxa" w:w="100"/>
            </w:tcMar>
          </w:tcPr>
          <w:p>
            <w:r>
              <w:t xml:space="preserve">KV heads</w:t>
            </w:r>
          </w:p>
        </w:tc>
        <w:tc>
          <w:tcPr>
            <w:tcW w:type="dxa" w:w="6200"/>
            <w:tcMar>
              <w:top w:type="dxa" w:w="60"/>
              <w:left w:type="dxa" w:w="100"/>
              <w:bottom w:type="dxa" w:w="60"/>
              <w:right w:type="dxa" w:w="100"/>
            </w:tcMar>
          </w:tcPr>
          <w:p>
            <w:r>
              <w:t xml:space="preserve">The number of distinct K and V heads that must be cached; equal to the attention head count in MHA and reduced in MQA and GQA.</w:t>
            </w:r>
          </w:p>
        </w:tc>
      </w:tr>
      <w:tr>
        <w:trPr>
          <w:cantSplit/>
        </w:trPr>
        <w:tc>
          <w:tcPr>
            <w:tcW w:type="dxa" w:w="2800"/>
            <w:tcMar>
              <w:top w:type="dxa" w:w="60"/>
              <w:left w:type="dxa" w:w="100"/>
              <w:bottom w:type="dxa" w:w="60"/>
              <w:right w:type="dxa" w:w="100"/>
            </w:tcMar>
          </w:tcPr>
          <w:p>
            <w:r>
              <w:t xml:space="preserve">MHA / MQA</w:t>
            </w:r>
          </w:p>
        </w:tc>
        <w:tc>
          <w:tcPr>
            <w:tcW w:type="dxa" w:w="6200"/>
            <w:tcMar>
              <w:top w:type="dxa" w:w="60"/>
              <w:left w:type="dxa" w:w="100"/>
              <w:bottom w:type="dxa" w:w="60"/>
              <w:right w:type="dxa" w:w="100"/>
            </w:tcMar>
          </w:tcPr>
          <w:p>
            <w:r>
              <w:t xml:space="preserve">Multi-head attention gives every head its own Q, K, and V; multi-query attention keeps separate queries but shares one K and V across all heads.</w:t>
            </w:r>
          </w:p>
        </w:tc>
      </w:tr>
    </w:tbl>
    <w:p>
      <w:pPr>
        <w:pStyle w:val="Heading1"/>
        <w:spacing w:after="160" w:before="320"/>
      </w:pPr>
      <w:r>
        <w:t xml:space="preserve">Common Points of Confusion: Class Q&amp;A</w:t>
      </w:r>
    </w:p>
    <w:p>
      <w:pPr>
        <w:spacing w:after="200" w:line="300"/>
      </w:pPr>
      <w:r>
        <w:t xml:space="preserve">These are real questions from class discussion that surfaced genuine points of confusion — the kind worth knowing cold, since if a classmate got tripped up here, an interviewer might expect the same thing untangled on the spot.</w:t>
      </w:r>
    </w:p>
    <w:p>
      <w:pPr>
        <w:spacing w:after="80" w:before="200"/>
      </w:pPr>
      <w:r>
        <w:rPr>
          <w:b/>
          <w:bCs/>
          <w:color w:val="8B2E2E"/>
        </w:rPr>
        <w:t xml:space="preserve">Q: In the original Transformer paper, is the head dimension 512, 8, or 64?</w:t>
      </w:r>
    </w:p>
    <w:p>
      <w:pPr>
        <w:spacing w:after="120" w:line="300"/>
      </w:pPr>
      <w:r>
        <w:t xml:space="preserve">A: Three different numbers are in play. The model (embedding) dimension is 512, the number of heads is 8, and the head dimension is the model dimension divided across the heads: 512 ÷ 8 = 64. The KV cache formula uses the head dimension of 64 together with the number of KV heads, which is 8 in standard MHA. Mixing these up is a very common slip, so it is worth being able to recite them.</w:t>
      </w:r>
    </w:p>
    <w:p>
      <w:pPr>
        <w:spacing w:after="80" w:before="200"/>
      </w:pPr>
      <w:r>
        <w:rPr>
          <w:b/>
          <w:bCs/>
          <w:color w:val="8B2E2E"/>
        </w:rPr>
        <w:t xml:space="preserve">Q: Doesn't multi-query attention reduce the number of heads?</w:t>
      </w:r>
    </w:p>
    <w:p>
      <w:pPr>
        <w:spacing w:after="120" w:line="300"/>
      </w:pPr>
      <w:r>
        <w:t xml:space="preserve">A: No. The number of query heads stays exactly the same. What changes is the number of K and V heads (reduced to one shared pair) and, as a consequence, the dimension that the K and V projections output. Q keeps its full size, which is also why there is no dimension mismatch when the shared key meets each head's query.</w:t>
      </w:r>
    </w:p>
    <w:p>
      <w:pPr>
        <w:spacing w:after="80" w:before="200"/>
      </w:pPr>
      <w:r>
        <w:rPr>
          <w:b/>
          <w:bCs/>
          <w:color w:val="8B2E2E"/>
        </w:rPr>
        <w:t xml:space="preserve">Q: If eight heads share a single K and V, how do they update the same memory without conflicting?</w:t>
      </w:r>
    </w:p>
    <w:p>
      <w:pPr>
        <w:spacing w:after="120" w:line="300"/>
      </w:pPr>
      <w:r>
        <w:t xml:space="preserve">A: They don't update it independently. For each token, K and V are generated once and then only read by all the query heads: one write, many reads. Training is unchanged, with the smaller K and V projection matrices learned through ordinary backpropagation, and during generation the values are never modified once produced. What each head contributes individually is its own Q, which is why different heads still produce different attention scores.</w:t>
      </w:r>
    </w:p>
    <w:p>
      <w:pPr>
        <w:spacing w:after="80" w:before="200"/>
      </w:pPr>
      <w:r>
        <w:rPr>
          <w:b/>
          <w:bCs/>
          <w:color w:val="8B2E2E"/>
        </w:rPr>
        <w:t xml:space="preserve">Q: Can one user's KV cache be reused for another user's request, or shared across a whole team?</w:t>
      </w:r>
    </w:p>
    <w:p>
      <w:pPr>
        <w:spacing w:after="120" w:line="300"/>
      </w:pPr>
      <w:r>
        <w:t xml:space="preserve">A: Not usefully. A cache is tied to the specific prompt that produced it, so a different prompt produces different K and V and the old cache has no value. Caches are created per request, kept in GPU VRAM (not moved to the CPU or Redis), and cleared based on available memory and input lengths, so keeping one for every user at scale is not feasible. Reuse only pays off when requests share the same starting tokens, which is the prefix-caching idea covered with paged attention later.</w:t>
      </w:r>
    </w:p>
    <w:p>
      <w:pPr>
        <w:spacing w:after="80" w:before="200"/>
      </w:pPr>
      <w:r>
        <w:rPr>
          <w:b/>
          <w:bCs/>
          <w:color w:val="8B2E2E"/>
        </w:rPr>
        <w:t xml:space="preserve">Q: Can I take a model trained with MHA and switch it to MQA when I serve it?</w:t>
      </w:r>
    </w:p>
    <w:p>
      <w:pPr>
        <w:spacing w:after="120" w:line="300"/>
      </w:pPr>
      <w:r>
        <w:t xml:space="preserve">A: No. MQA changes the shape of the K and V projection matrices, and the model has to learn with that structure from training onward. It is an architecture decision made at training time, not a serving-time switch.</w:t>
      </w:r>
    </w:p>
    <w:p>
      <w:pPr>
        <w:spacing w:after="80" w:before="200"/>
      </w:pPr>
      <w:r>
        <w:rPr>
          <w:b/>
          <w:bCs/>
          <w:color w:val="8B2E2E"/>
        </w:rPr>
        <w:t xml:space="preserve">Q: What is the difference between the KV cache and the 'cached prompt tokens' that API providers report?</w:t>
      </w:r>
    </w:p>
    <w:p>
      <w:pPr>
        <w:spacing w:after="120" w:line="300"/>
      </w:pPr>
      <w:r>
        <w:t xml:space="preserve">A: They are two different caches. The KV cache holds the K and V tensors in GPU memory during generation. A prompt cache is a provider-level feature that reuses already-processed prompts, and it typically expires quickly (within roughly 5 to 10 minutes), while the KV cache can be held somewhat longer. What a provider actually exposes varies by provider. Prefix caching, meaning reusing the prefill work for a shared opening such as a common system prompt, is closely related and arrives with paged attention.</w:t>
      </w:r>
    </w:p>
    <w:p>
      <w:pPr>
        <w:spacing w:after="80" w:before="200"/>
      </w:pPr>
      <w:r>
        <w:rPr>
          <w:b/>
          <w:bCs/>
          <w:color w:val="8B2E2E"/>
        </w:rPr>
        <w:t xml:space="preserve">Q: Does the KV cache apply only to decoder-only models, or to encoder-decoder models as well?</w:t>
      </w:r>
    </w:p>
    <w:p>
      <w:pPr>
        <w:spacing w:after="120" w:line="300"/>
      </w:pPr>
      <w:r>
        <w:t xml:space="preserve">A: It applies wherever K and V are computed. It matters most in decoders, because autoregressive generation is where the recomputation problem arises, and nearly every major recent LLM is decoder-only. In a sequence-to-sequence model such as T5, the encoder's K and V (used through cross-attention) are computed once and kept so the decoder can read them at every generation step.</w:t>
      </w:r>
    </w:p>
    <w:sectPr>
      <w:pgSz w:w="12240" w:h="15840" w:orient="portrait"/>
      <w:pgMar w:top="1080" w:right="1200" w:bottom="108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C9BBAE" w:sz="6" w:space="4"/>
      </w:pBdr>
      <w:spacing w:after="160" w:before="320"/>
    </w:pPr>
    <w:rPr>
      <w:rFonts w:ascii="Calibri" w:cs="Calibri" w:eastAsia="Calibri" w:hAnsi="Calibri"/>
      <w:b/>
      <w:bCs/>
      <w:color w:val="8B2E2E"/>
      <w:sz w:val="30"/>
      <w:szCs w:val="30"/>
    </w:rPr>
  </w:style>
  <w:style w:type="paragraph" w:styleId="Heading2">
    <w:name w:val="Heading 2"/>
    <w:basedOn w:val="Normal"/>
    <w:next w:val="Normal"/>
    <w:qFormat/>
    <w:pPr>
      <w:spacing w:after="120" w:before="240"/>
    </w:pPr>
    <w:rPr>
      <w:rFonts w:ascii="Calibri" w:cs="Calibri" w:eastAsia="Calibri" w:hAnsi="Calibri"/>
      <w:b/>
      <w:bCs/>
      <w:color w:val="5A5A5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2026-10-06T18:11:48.071Z</dcterms:created>
  <dcterms:modified xsi:type="dcterms:W3CDTF">2026-10-06T18:11:48.071Z</dcterms:modified>
</cp:coreProperties>
</file>

<file path=docProps/custom.xml><?xml version="1.0" encoding="utf-8"?>
<Properties xmlns="http://schemas.openxmlformats.org/officeDocument/2006/custom-properties" xmlns:vt="http://schemas.openxmlformats.org/officeDocument/2006/docPropsVTypes"/>
</file>