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18 October 2026 (Module 3, Class 6: Scaling Laws — Model Size, Data, and Compute)</w:t>
      </w:r>
    </w:p>
    <w:p>
      <w:pPr>
        <w:spacing w:after="400"/>
      </w:pPr>
      <w:r>
        <w:rPr>
          <w:color w:val="555555"/>
          <w:sz w:val="22"/>
          <w:szCs w:val="22"/>
        </w:rPr>
        <w:t xml:space="preserve">The three dimensions of scaling laws, the loss-versus-size equation worked with numbers, the Chinchilla guideline of about 20 training tokens per parameter, how a compute budget is split, and the Chinchilla versus Gopher result.</w:t>
      </w:r>
    </w:p>
    <w:p>
      <w:pPr>
        <w:pStyle w:val="Heading1"/>
        <w:spacing w:after="160" w:before="320"/>
      </w:pPr>
      <w:r>
        <w:t xml:space="preserve">1. Where This Class Fits: From How Models Run to How Big to Build Them</w:t>
      </w:r>
    </w:p>
    <w:p>
      <w:pPr>
        <w:spacing w:after="200" w:line="300"/>
      </w:pPr>
      <w:r>
        <w:t xml:space="preserve">The earlier classes looked inside the architecture and at how attention runs efficiently. This class asks a different question: given a fixed training budget, how big should a model be, and how much data should it see? The answer comes from scaling laws, which describe how a language model's loss changes as you change its size, its training data, and the compute spent on training.</w:t>
      </w:r>
    </w:p>
    <w:p>
      <w:pPr>
        <w:spacing w:after="200" w:line="300"/>
      </w:pPr>
      <w:r>
        <w:t xml:space="preserve">Two papers set the ground. The first, from OpenAI, is the Kaplan paper (Scaling Laws for Neural Language Models), the original statement of the idea. The second is the Chinchilla paper, on compute-optimal training of large language models, from Google DeepMind. It revisited the first paper and corrected parts of it. Both are experimental: researchers train many configurations, record the loss, and fit equations to the results.</w:t>
      </w:r>
    </w:p>
    <w:p>
      <w:pPr>
        <w:spacing w:after="200" w:line="300"/>
      </w:pPr>
      <w:r>
        <w:t xml:space="preserve">Walking through every equation takes far more than one class, and the laws matter mainly if you train models yourself, so the full paper walkthrough is planned for just before the fine-tuning module. This class takes the practical route: a handful of key equations, worked with small hypothetical numbers so their behavior becomes visible.</w:t>
      </w:r>
    </w:p>
    <w:p>
      <w:pPr>
        <w:pStyle w:val="Heading1"/>
        <w:spacing w:after="160" w:before="320"/>
      </w:pPr>
      <w:r>
        <w:t xml:space="preserve">2. A Starting Question: Which Model Will Be Best?</w:t>
      </w:r>
    </w:p>
    <w:p>
      <w:pPr>
        <w:spacing w:after="200" w:line="300"/>
      </w:pPr>
      <w:r>
        <w:t xml:space="preserve">Suppose you train three language models with 100 million, 1 billion, and 10 billion parameters. Which will perform best? Parameter count alone gives no answer. If the 10-billion model saw very little data while the other two saw much more, it drops out of contention, and the realistic candidates are the smaller models trained on more data. A bigger model also needs more compute to train, so size, data, and compute have to be weighed together.</w:t>
      </w:r>
    </w:p>
    <w:p>
      <w:pPr>
        <w:spacing w:after="200" w:line="300"/>
      </w:pPr>
      <w:r>
        <w:t xml:space="preserve">The same reasoning applies to models you cannot inspect. For frontier models you know almost nothing about the training data, so parameter count says little about quality. And making a model 100 times larger does not improve performance 100 times.</w:t>
      </w:r>
    </w:p>
    <w:p>
      <w:pPr>
        <w:keepNext/>
        <w:keepLines/>
        <w:pBdr>
          <w:left w:val="single" w:color="8B2E2E" w:sz="24" w:space="8"/>
        </w:pBdr>
        <w:shd w:fill="FBEEE6" w:val="clear"/>
        <w:spacing w:after="60" w:before="160"/>
        <w:ind w:left="100"/>
      </w:pPr>
      <w:r>
        <w:rPr>
          <w:b/>
          <w:bCs/>
          <w:color w:val="8B2E2E"/>
        </w:rPr>
        <w:t xml:space="preserve">⭑ Important — Parameter Count Alone Cannot Rank Models</w:t>
      </w:r>
    </w:p>
    <w:p>
      <w:pPr>
        <w:keepLines/>
        <w:pBdr>
          <w:left w:val="single" w:color="8B2E2E" w:sz="24" w:space="8"/>
        </w:pBdr>
        <w:shd w:fill="FBEEE6" w:val="clear"/>
        <w:spacing w:after="220" w:before="0"/>
        <w:ind w:left="100"/>
      </w:pPr>
      <w:r>
        <w:t xml:space="preserve">You can never judge a model, or justify scaling one up, from its parameter count alone. Performance depends on three dimensions together: the number of parameters, the amount of training data, and the compute available to train. Size alone leaves out most of the picture.</w:t>
      </w:r>
    </w:p>
    <w:p>
      <w:pPr>
        <w:pStyle w:val="Heading1"/>
        <w:spacing w:after="160" w:before="320"/>
      </w:pPr>
      <w:r>
        <w:t xml:space="preserve">3. The Three Dimensions: Model Size, Data, and Compute</w:t>
      </w:r>
    </w:p>
    <w:p>
      <w:pPr>
        <w:spacing w:after="200" w:line="300"/>
      </w:pPr>
      <w:r>
        <w:t xml:space="preserve">Every scaling law is built on the same three dimensions: model size (N), dataset size (D), and compute (C).</w:t>
      </w:r>
    </w:p>
    <w:p>
      <w:pPr>
        <w:spacing w:after="200" w:line="300"/>
      </w:pPr>
      <w:r>
        <w:t xml:space="preserve">Model size means the parameters in the model's layers: its weights and biases. The papers count non-embedding parameters, so the embedding table, which is a separate component, is left out. They also count only trainable parameters, the ones training updates. Non-trainable parameters are fixed values that training does not change. Batch normalization is the standard example: its scale and shift are trainable, but the moving average of the mean and standard deviation saved during training, and reused at inference, is not. The architecture you design is what fixes this number.</w:t>
      </w:r>
    </w:p>
    <w:p>
      <w:pPr>
        <w:spacing w:after="200" w:line="300"/>
      </w:pPr>
      <w:r>
        <w:t xml:space="preserve">Compute is counted in floating-point operations. One petaflop is 10^15 operations, and the Kaplan paper defines a PF-day as one petaflop per second sustained for 24 hours, which is 86,400 seconds, or about 8.64 × 10^19 operations.</w:t>
      </w:r>
    </w:p>
    <w:p>
      <w:pPr>
        <w:spacing w:after="200" w:line="300"/>
      </w:pPr>
      <w:r>
        <w:t xml:space="preserve">Compute is always limited, even when the numbers are enormous. Think of a cluster of thousands of GPUs rather than one or two, and treat its total capacity as fixed. With compute fixed, the interesting question is how to trade model size against data.</w:t>
      </w:r>
    </w:p>
    <w:p>
      <w:pPr>
        <w:keepNext/>
        <w:spacing w:after="200" w:line="300"/>
      </w:pPr>
      <w:r>
        <w:t xml:space="preserve">In summary, the three dimensions and what each one counts: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400"/>
        <w:gridCol w:w="1400"/>
        <w:gridCol w:w="5200"/>
      </w:tblGrid>
      <w:tr>
        <w:trPr>
          <w:tblHeader/>
        </w:trPr>
        <w:tc>
          <w:tcPr>
            <w:tcW w:type="dxa" w:w="2400"/>
            <w:shd w:fill="EDE3DA" w:val="clear"/>
            <w:tcMar>
              <w:top w:type="dxa" w:w="80"/>
              <w:left w:type="dxa" w:w="100"/>
              <w:bottom w:type="dxa" w:w="80"/>
              <w:right w:type="dxa" w:w="100"/>
            </w:tcMar>
          </w:tcPr>
          <w:p>
            <w:pPr>
              <w:keepNext/>
            </w:pPr>
            <w:r>
              <w:rPr>
                <w:b/>
                <w:bCs/>
              </w:rPr>
              <w:t xml:space="preserve">Dimension</w:t>
            </w:r>
          </w:p>
        </w:tc>
        <w:tc>
          <w:tcPr>
            <w:tcW w:type="dxa" w:w="1400"/>
            <w:shd w:fill="EDE3DA" w:val="clear"/>
            <w:tcMar>
              <w:top w:type="dxa" w:w="80"/>
              <w:left w:type="dxa" w:w="100"/>
              <w:bottom w:type="dxa" w:w="80"/>
              <w:right w:type="dxa" w:w="100"/>
            </w:tcMar>
          </w:tcPr>
          <w:p>
            <w:pPr>
              <w:keepNext/>
            </w:pPr>
            <w:r>
              <w:rPr>
                <w:b/>
                <w:bCs/>
              </w:rPr>
              <w:t xml:space="preserve">Symbol</w:t>
            </w:r>
          </w:p>
        </w:tc>
        <w:tc>
          <w:tcPr>
            <w:tcW w:type="dxa" w:w="5200"/>
            <w:shd w:fill="EDE3DA" w:val="clear"/>
            <w:tcMar>
              <w:top w:type="dxa" w:w="80"/>
              <w:left w:type="dxa" w:w="100"/>
              <w:bottom w:type="dxa" w:w="80"/>
              <w:right w:type="dxa" w:w="100"/>
            </w:tcMar>
          </w:tcPr>
          <w:p>
            <w:pPr>
              <w:keepNext/>
            </w:pPr>
            <w:r>
              <w:rPr>
                <w:b/>
                <w:bCs/>
              </w:rPr>
              <w:t xml:space="preserve">What it counts</w:t>
            </w:r>
          </w:p>
        </w:tc>
      </w:tr>
      <w:tr>
        <w:trPr>
          <w:cantSplit/>
        </w:trPr>
        <w:tc>
          <w:tcPr>
            <w:tcW w:type="dxa" w:w="2400"/>
            <w:tcMar>
              <w:top w:type="dxa" w:w="60"/>
              <w:left w:type="dxa" w:w="100"/>
              <w:bottom w:type="dxa" w:w="60"/>
              <w:right w:type="dxa" w:w="100"/>
            </w:tcMar>
          </w:tcPr>
          <w:p>
            <w:pPr>
              <w:keepNext/>
            </w:pPr>
            <w:r>
              <w:t xml:space="preserve">Model size</w:t>
            </w:r>
          </w:p>
        </w:tc>
        <w:tc>
          <w:tcPr>
            <w:tcW w:type="dxa" w:w="1400"/>
            <w:tcMar>
              <w:top w:type="dxa" w:w="60"/>
              <w:left w:type="dxa" w:w="100"/>
              <w:bottom w:type="dxa" w:w="60"/>
              <w:right w:type="dxa" w:w="100"/>
            </w:tcMar>
          </w:tcPr>
          <w:p>
            <w:pPr>
              <w:keepNext/>
            </w:pPr>
            <w:r>
              <w:t xml:space="preserve">N</w:t>
            </w:r>
          </w:p>
        </w:tc>
        <w:tc>
          <w:tcPr>
            <w:tcW w:type="dxa" w:w="5200"/>
            <w:tcMar>
              <w:top w:type="dxa" w:w="60"/>
              <w:left w:type="dxa" w:w="100"/>
              <w:bottom w:type="dxa" w:w="60"/>
              <w:right w:type="dxa" w:w="100"/>
            </w:tcMar>
          </w:tcPr>
          <w:p>
            <w:pPr>
              <w:keepNext/>
            </w:pPr>
            <w:r>
              <w:t xml:space="preserve">Non-embedding trainable parameters</w:t>
            </w:r>
          </w:p>
        </w:tc>
      </w:tr>
      <w:tr>
        <w:trPr>
          <w:cantSplit/>
        </w:trPr>
        <w:tc>
          <w:tcPr>
            <w:tcW w:type="dxa" w:w="2400"/>
            <w:tcMar>
              <w:top w:type="dxa" w:w="60"/>
              <w:left w:type="dxa" w:w="100"/>
              <w:bottom w:type="dxa" w:w="60"/>
              <w:right w:type="dxa" w:w="100"/>
            </w:tcMar>
          </w:tcPr>
          <w:p>
            <w:pPr>
              <w:keepNext/>
            </w:pPr>
            <w:r>
              <w:t xml:space="preserve">Dataset size</w:t>
            </w:r>
          </w:p>
        </w:tc>
        <w:tc>
          <w:tcPr>
            <w:tcW w:type="dxa" w:w="1400"/>
            <w:tcMar>
              <w:top w:type="dxa" w:w="60"/>
              <w:left w:type="dxa" w:w="100"/>
              <w:bottom w:type="dxa" w:w="60"/>
              <w:right w:type="dxa" w:w="100"/>
            </w:tcMar>
          </w:tcPr>
          <w:p>
            <w:pPr>
              <w:keepNext/>
            </w:pPr>
            <w:r>
              <w:t xml:space="preserve">D</w:t>
            </w:r>
          </w:p>
        </w:tc>
        <w:tc>
          <w:tcPr>
            <w:tcW w:type="dxa" w:w="5200"/>
            <w:tcMar>
              <w:top w:type="dxa" w:w="60"/>
              <w:left w:type="dxa" w:w="100"/>
              <w:bottom w:type="dxa" w:w="60"/>
              <w:right w:type="dxa" w:w="100"/>
            </w:tcMar>
          </w:tcPr>
          <w:p>
            <w:pPr>
              <w:keepNext/>
            </w:pPr>
            <w:r>
              <w:t xml:space="preserve">Total tokens in the training set</w:t>
            </w:r>
          </w:p>
        </w:tc>
      </w:tr>
      <w:tr>
        <w:trPr>
          <w:cantSplit/>
        </w:trPr>
        <w:tc>
          <w:tcPr>
            <w:tcW w:type="dxa" w:w="2400"/>
            <w:tcMar>
              <w:top w:type="dxa" w:w="60"/>
              <w:left w:type="dxa" w:w="100"/>
              <w:bottom w:type="dxa" w:w="60"/>
              <w:right w:type="dxa" w:w="100"/>
            </w:tcMar>
          </w:tcPr>
          <w:p>
            <w:pPr>
              <w:keepNext w:val="false"/>
            </w:pPr>
            <w:r>
              <w:t xml:space="preserve">Compute</w:t>
            </w:r>
          </w:p>
        </w:tc>
        <w:tc>
          <w:tcPr>
            <w:tcW w:type="dxa" w:w="1400"/>
            <w:tcMar>
              <w:top w:type="dxa" w:w="60"/>
              <w:left w:type="dxa" w:w="100"/>
              <w:bottom w:type="dxa" w:w="60"/>
              <w:right w:type="dxa" w:w="100"/>
            </w:tcMar>
          </w:tcPr>
          <w:p>
            <w:pPr>
              <w:keepNext w:val="false"/>
            </w:pPr>
            <w:r>
              <w:t xml:space="preserve">C</w:t>
            </w:r>
          </w:p>
        </w:tc>
        <w:tc>
          <w:tcPr>
            <w:tcW w:type="dxa" w:w="5200"/>
            <w:tcMar>
              <w:top w:type="dxa" w:w="60"/>
              <w:left w:type="dxa" w:w="100"/>
              <w:bottom w:type="dxa" w:w="60"/>
              <w:right w:type="dxa" w:w="100"/>
            </w:tcMar>
          </w:tcPr>
          <w:p>
            <w:pPr>
              <w:keepNext w:val="false"/>
            </w:pPr>
            <w:r>
              <w:t xml:space="preserve">Floating-point operations, measured in petaflops</w:t>
            </w:r>
          </w:p>
        </w:tc>
      </w:tr>
    </w:tbl>
    <w:p>
      <w:pPr>
        <w:spacing w:after="100"/>
      </w:pPr>
    </w:p>
    <w:p>
      <w:pPr>
        <w:pStyle w:val="Heading1"/>
        <w:spacing w:after="160" w:before="320"/>
      </w:pPr>
      <w:r>
        <w:t xml:space="preserve">4. The First Equation: Loss as a Function of Model Size</w:t>
      </w:r>
    </w:p>
    <w:p>
      <w:pPr>
        <w:keepNext/>
        <w:spacing w:after="200" w:line="300"/>
      </w:pPr>
      <w:r>
        <w:t xml:space="preserve">The first equation relates loss to model size: L(N) = L∞ + A / N^α. The papers use their own symbols and fitted constants, but the shape is the same: a floor plus a term that shrinks as N grows. Each symbol means the following:</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1600"/>
        <w:gridCol w:w="7400"/>
      </w:tblGrid>
      <w:tr>
        <w:trPr>
          <w:tblHeader/>
        </w:trPr>
        <w:tc>
          <w:tcPr>
            <w:tcW w:type="dxa" w:w="1600"/>
            <w:shd w:fill="EDE3DA" w:val="clear"/>
            <w:tcMar>
              <w:top w:type="dxa" w:w="80"/>
              <w:left w:type="dxa" w:w="100"/>
              <w:bottom w:type="dxa" w:w="80"/>
              <w:right w:type="dxa" w:w="100"/>
            </w:tcMar>
          </w:tcPr>
          <w:p>
            <w:pPr>
              <w:keepNext/>
            </w:pPr>
            <w:r>
              <w:rPr>
                <w:b/>
                <w:bCs/>
              </w:rPr>
              <w:t xml:space="preserve">Symbol</w:t>
            </w:r>
          </w:p>
        </w:tc>
        <w:tc>
          <w:tcPr>
            <w:tcW w:type="dxa" w:w="7400"/>
            <w:shd w:fill="EDE3DA" w:val="clear"/>
            <w:tcMar>
              <w:top w:type="dxa" w:w="80"/>
              <w:left w:type="dxa" w:w="100"/>
              <w:bottom w:type="dxa" w:w="80"/>
              <w:right w:type="dxa" w:w="100"/>
            </w:tcMar>
          </w:tcPr>
          <w:p>
            <w:pPr>
              <w:keepNext/>
            </w:pPr>
            <w:r>
              <w:rPr>
                <w:b/>
                <w:bCs/>
              </w:rPr>
              <w:t xml:space="preserve">Meaning</w:t>
            </w:r>
          </w:p>
        </w:tc>
      </w:tr>
      <w:tr>
        <w:trPr>
          <w:cantSplit/>
        </w:trPr>
        <w:tc>
          <w:tcPr>
            <w:tcW w:type="dxa" w:w="1600"/>
            <w:tcMar>
              <w:top w:type="dxa" w:w="60"/>
              <w:left w:type="dxa" w:w="100"/>
              <w:bottom w:type="dxa" w:w="60"/>
              <w:right w:type="dxa" w:w="100"/>
            </w:tcMar>
          </w:tcPr>
          <w:p>
            <w:pPr>
              <w:keepNext/>
            </w:pPr>
            <w:r>
              <w:t xml:space="preserve">L(N)</w:t>
            </w:r>
          </w:p>
        </w:tc>
        <w:tc>
          <w:tcPr>
            <w:tcW w:type="dxa" w:w="7400"/>
            <w:tcMar>
              <w:top w:type="dxa" w:w="60"/>
              <w:left w:type="dxa" w:w="100"/>
              <w:bottom w:type="dxa" w:w="60"/>
              <w:right w:type="dxa" w:w="100"/>
            </w:tcMar>
          </w:tcPr>
          <w:p>
            <w:pPr>
              <w:keepNext/>
            </w:pPr>
            <w:r>
              <w:t xml:space="preserve">Cross-entropy loss of a model with N parameters; loss belongs to a model, so N identifies which one.</w:t>
            </w:r>
          </w:p>
        </w:tc>
      </w:tr>
      <w:tr>
        <w:trPr>
          <w:cantSplit/>
        </w:trPr>
        <w:tc>
          <w:tcPr>
            <w:tcW w:type="dxa" w:w="1600"/>
            <w:tcMar>
              <w:top w:type="dxa" w:w="60"/>
              <w:left w:type="dxa" w:w="100"/>
              <w:bottom w:type="dxa" w:w="60"/>
              <w:right w:type="dxa" w:w="100"/>
            </w:tcMar>
          </w:tcPr>
          <w:p>
            <w:pPr>
              <w:keepNext/>
            </w:pPr>
            <w:r>
              <w:t xml:space="preserve">L∞</w:t>
            </w:r>
          </w:p>
        </w:tc>
        <w:tc>
          <w:tcPr>
            <w:tcW w:type="dxa" w:w="7400"/>
            <w:tcMar>
              <w:top w:type="dxa" w:w="60"/>
              <w:left w:type="dxa" w:w="100"/>
              <w:bottom w:type="dxa" w:w="60"/>
              <w:right w:type="dxa" w:w="100"/>
            </w:tcMar>
          </w:tcPr>
          <w:p>
            <w:pPr>
              <w:keepNext/>
            </w:pPr>
            <w:r>
              <w:t xml:space="preserve">The limiting loss: the floor the loss approaches as the model grows.</w:t>
            </w:r>
          </w:p>
        </w:tc>
      </w:tr>
      <w:tr>
        <w:trPr>
          <w:cantSplit/>
        </w:trPr>
        <w:tc>
          <w:tcPr>
            <w:tcW w:type="dxa" w:w="1600"/>
            <w:tcMar>
              <w:top w:type="dxa" w:w="60"/>
              <w:left w:type="dxa" w:w="100"/>
              <w:bottom w:type="dxa" w:w="60"/>
              <w:right w:type="dxa" w:w="100"/>
            </w:tcMar>
          </w:tcPr>
          <w:p>
            <w:pPr>
              <w:keepNext/>
            </w:pPr>
            <w:r>
              <w:t xml:space="preserve">A</w:t>
            </w:r>
          </w:p>
        </w:tc>
        <w:tc>
          <w:tcPr>
            <w:tcW w:type="dxa" w:w="7400"/>
            <w:tcMar>
              <w:top w:type="dxa" w:w="60"/>
              <w:left w:type="dxa" w:w="100"/>
              <w:bottom w:type="dxa" w:w="60"/>
              <w:right w:type="dxa" w:w="100"/>
            </w:tcMar>
          </w:tcPr>
          <w:p>
            <w:pPr>
              <w:keepNext/>
            </w:pPr>
            <w:r>
              <w:t xml:space="preserve">A constant fitted from the data; it sets the magnitude of the loss.</w:t>
            </w:r>
          </w:p>
        </w:tc>
      </w:tr>
      <w:tr>
        <w:trPr>
          <w:cantSplit/>
        </w:trPr>
        <w:tc>
          <w:tcPr>
            <w:tcW w:type="dxa" w:w="1600"/>
            <w:tcMar>
              <w:top w:type="dxa" w:w="60"/>
              <w:left w:type="dxa" w:w="100"/>
              <w:bottom w:type="dxa" w:w="60"/>
              <w:right w:type="dxa" w:w="100"/>
            </w:tcMar>
          </w:tcPr>
          <w:p>
            <w:pPr>
              <w:keepNext w:val="false"/>
            </w:pPr>
            <w:r>
              <w:t xml:space="preserve">α</w:t>
            </w:r>
          </w:p>
        </w:tc>
        <w:tc>
          <w:tcPr>
            <w:tcW w:type="dxa" w:w="7400"/>
            <w:tcMar>
              <w:top w:type="dxa" w:w="60"/>
              <w:left w:type="dxa" w:w="100"/>
              <w:bottom w:type="dxa" w:w="60"/>
              <w:right w:type="dxa" w:w="100"/>
            </w:tcMar>
          </w:tcPr>
          <w:p>
            <w:pPr>
              <w:keepNext w:val="false"/>
            </w:pPr>
            <w:r>
              <w:t xml:space="preserve">The scaling exponent; it sets how fast the loss falls as N grows.</w:t>
            </w:r>
          </w:p>
        </w:tc>
      </w:tr>
    </w:tbl>
    <w:p>
      <w:pPr>
        <w:spacing w:after="100"/>
      </w:pPr>
    </w:p>
    <w:p>
      <w:pPr>
        <w:spacing w:after="200" w:line="300"/>
      </w:pPr>
      <w:r>
        <w:t xml:space="preserve">The loss is cross-entropy, the same function used for classification in deep learning; for a language model it measures how well the next token is predicted. The paper writes the last term as A · N^−α. The minus sign just moves N into the denominator, which is why α must be positive: a larger N then gives a smaller term and a lower loss. The limiting loss is a target you approach but never reach. It should be close to zero, never exactly zero, since an exact zero would signal a problem.</w:t>
      </w:r>
    </w:p>
    <w:p>
      <w:pPr>
        <w:keepNext/>
        <w:spacing w:after="200" w:line="300"/>
      </w:pPr>
      <w:r>
        <w:t xml:space="preserve">To keep the arithmetic easy, take L∞ = 1, A = 10, and α = 0.5, so that N^α is just a square root. Then growing the model gives: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000"/>
        <w:gridCol w:w="2600"/>
        <w:gridCol w:w="2000"/>
        <w:gridCol w:w="2400"/>
      </w:tblGrid>
      <w:tr>
        <w:trPr>
          <w:tblHeader/>
        </w:trPr>
        <w:tc>
          <w:tcPr>
            <w:tcW w:type="dxa" w:w="2000"/>
            <w:shd w:fill="EDE3DA" w:val="clear"/>
            <w:tcMar>
              <w:top w:type="dxa" w:w="80"/>
              <w:left w:type="dxa" w:w="100"/>
              <w:bottom w:type="dxa" w:w="80"/>
              <w:right w:type="dxa" w:w="100"/>
            </w:tcMar>
          </w:tcPr>
          <w:p>
            <w:pPr>
              <w:keepNext/>
            </w:pPr>
            <w:r>
              <w:rPr>
                <w:b/>
                <w:bCs/>
              </w:rPr>
              <w:t xml:space="preserve">Model size N</w:t>
            </w:r>
          </w:p>
        </w:tc>
        <w:tc>
          <w:tcPr>
            <w:tcW w:type="dxa" w:w="2600"/>
            <w:shd w:fill="EDE3DA" w:val="clear"/>
            <w:tcMar>
              <w:top w:type="dxa" w:w="80"/>
              <w:left w:type="dxa" w:w="100"/>
              <w:bottom w:type="dxa" w:w="80"/>
              <w:right w:type="dxa" w:w="100"/>
            </w:tcMar>
          </w:tcPr>
          <w:p>
            <w:pPr>
              <w:keepNext/>
            </w:pPr>
            <w:r>
              <w:rPr>
                <w:b/>
                <w:bCs/>
              </w:rPr>
              <w:t xml:space="preserve">A / N^α</w:t>
            </w:r>
          </w:p>
        </w:tc>
        <w:tc>
          <w:tcPr>
            <w:tcW w:type="dxa" w:w="2000"/>
            <w:shd w:fill="EDE3DA" w:val="clear"/>
            <w:tcMar>
              <w:top w:type="dxa" w:w="80"/>
              <w:left w:type="dxa" w:w="100"/>
              <w:bottom w:type="dxa" w:w="80"/>
              <w:right w:type="dxa" w:w="100"/>
            </w:tcMar>
          </w:tcPr>
          <w:p>
            <w:pPr>
              <w:keepNext/>
            </w:pPr>
            <w:r>
              <w:rPr>
                <w:b/>
                <w:bCs/>
              </w:rPr>
              <w:t xml:space="preserve">Loss L(N)</w:t>
            </w:r>
          </w:p>
        </w:tc>
        <w:tc>
          <w:tcPr>
            <w:tcW w:type="dxa" w:w="2400"/>
            <w:shd w:fill="EDE3DA" w:val="clear"/>
            <w:tcMar>
              <w:top w:type="dxa" w:w="80"/>
              <w:left w:type="dxa" w:w="100"/>
              <w:bottom w:type="dxa" w:w="80"/>
              <w:right w:type="dxa" w:w="100"/>
            </w:tcMar>
          </w:tcPr>
          <w:p>
            <w:pPr>
              <w:keepNext/>
            </w:pPr>
            <w:r>
              <w:rPr>
                <w:b/>
                <w:bCs/>
              </w:rPr>
              <w:t xml:space="preserve">Drop from previous row</w:t>
            </w:r>
          </w:p>
        </w:tc>
      </w:tr>
      <w:tr>
        <w:trPr>
          <w:cantSplit/>
        </w:trPr>
        <w:tc>
          <w:tcPr>
            <w:tcW w:type="dxa" w:w="2000"/>
            <w:tcMar>
              <w:top w:type="dxa" w:w="60"/>
              <w:left w:type="dxa" w:w="100"/>
              <w:bottom w:type="dxa" w:w="60"/>
              <w:right w:type="dxa" w:w="100"/>
            </w:tcMar>
          </w:tcPr>
          <w:p>
            <w:pPr>
              <w:keepNext/>
            </w:pPr>
            <w:r>
              <w:t xml:space="preserve">100</w:t>
            </w:r>
          </w:p>
        </w:tc>
        <w:tc>
          <w:tcPr>
            <w:tcW w:type="dxa" w:w="2600"/>
            <w:tcMar>
              <w:top w:type="dxa" w:w="60"/>
              <w:left w:type="dxa" w:w="100"/>
              <w:bottom w:type="dxa" w:w="60"/>
              <w:right w:type="dxa" w:w="100"/>
            </w:tcMar>
          </w:tcPr>
          <w:p>
            <w:pPr>
              <w:keepNext/>
            </w:pPr>
            <w:r>
              <w:t xml:space="preserve">10 / 10 = 1.0</w:t>
            </w:r>
          </w:p>
        </w:tc>
        <w:tc>
          <w:tcPr>
            <w:tcW w:type="dxa" w:w="2000"/>
            <w:tcMar>
              <w:top w:type="dxa" w:w="60"/>
              <w:left w:type="dxa" w:w="100"/>
              <w:bottom w:type="dxa" w:w="60"/>
              <w:right w:type="dxa" w:w="100"/>
            </w:tcMar>
          </w:tcPr>
          <w:p>
            <w:pPr>
              <w:keepNext/>
            </w:pPr>
            <w:r>
              <w:t xml:space="preserve">2.0</w:t>
            </w:r>
          </w:p>
        </w:tc>
        <w:tc>
          <w:tcPr>
            <w:tcW w:type="dxa" w:w="2400"/>
            <w:tcMar>
              <w:top w:type="dxa" w:w="60"/>
              <w:left w:type="dxa" w:w="100"/>
              <w:bottom w:type="dxa" w:w="60"/>
              <w:right w:type="dxa" w:w="100"/>
            </w:tcMar>
          </w:tcPr>
          <w:p>
            <w:pPr>
              <w:keepNext/>
            </w:pPr>
            <w:r>
              <w:t xml:space="preserve">—</w:t>
            </w:r>
          </w:p>
        </w:tc>
      </w:tr>
      <w:tr>
        <w:trPr>
          <w:cantSplit/>
        </w:trPr>
        <w:tc>
          <w:tcPr>
            <w:tcW w:type="dxa" w:w="2000"/>
            <w:tcMar>
              <w:top w:type="dxa" w:w="60"/>
              <w:left w:type="dxa" w:w="100"/>
              <w:bottom w:type="dxa" w:w="60"/>
              <w:right w:type="dxa" w:w="100"/>
            </w:tcMar>
          </w:tcPr>
          <w:p>
            <w:pPr>
              <w:keepNext/>
            </w:pPr>
            <w:r>
              <w:t xml:space="preserve">400</w:t>
            </w:r>
          </w:p>
        </w:tc>
        <w:tc>
          <w:tcPr>
            <w:tcW w:type="dxa" w:w="2600"/>
            <w:tcMar>
              <w:top w:type="dxa" w:w="60"/>
              <w:left w:type="dxa" w:w="100"/>
              <w:bottom w:type="dxa" w:w="60"/>
              <w:right w:type="dxa" w:w="100"/>
            </w:tcMar>
          </w:tcPr>
          <w:p>
            <w:pPr>
              <w:keepNext/>
            </w:pPr>
            <w:r>
              <w:t xml:space="preserve">10 / 20 = 0.5</w:t>
            </w:r>
          </w:p>
        </w:tc>
        <w:tc>
          <w:tcPr>
            <w:tcW w:type="dxa" w:w="2000"/>
            <w:tcMar>
              <w:top w:type="dxa" w:w="60"/>
              <w:left w:type="dxa" w:w="100"/>
              <w:bottom w:type="dxa" w:w="60"/>
              <w:right w:type="dxa" w:w="100"/>
            </w:tcMar>
          </w:tcPr>
          <w:p>
            <w:pPr>
              <w:keepNext/>
            </w:pPr>
            <w:r>
              <w:t xml:space="preserve">1.5</w:t>
            </w:r>
          </w:p>
        </w:tc>
        <w:tc>
          <w:tcPr>
            <w:tcW w:type="dxa" w:w="2400"/>
            <w:tcMar>
              <w:top w:type="dxa" w:w="60"/>
              <w:left w:type="dxa" w:w="100"/>
              <w:bottom w:type="dxa" w:w="60"/>
              <w:right w:type="dxa" w:w="100"/>
            </w:tcMar>
          </w:tcPr>
          <w:p>
            <w:pPr>
              <w:keepNext/>
            </w:pPr>
            <w:r>
              <w:t xml:space="preserve">0.5</w:t>
            </w:r>
          </w:p>
        </w:tc>
      </w:tr>
      <w:tr>
        <w:trPr>
          <w:cantSplit/>
        </w:trPr>
        <w:tc>
          <w:tcPr>
            <w:tcW w:type="dxa" w:w="2000"/>
            <w:tcMar>
              <w:top w:type="dxa" w:w="60"/>
              <w:left w:type="dxa" w:w="100"/>
              <w:bottom w:type="dxa" w:w="60"/>
              <w:right w:type="dxa" w:w="100"/>
            </w:tcMar>
          </w:tcPr>
          <w:p>
            <w:pPr>
              <w:keepNext/>
            </w:pPr>
            <w:r>
              <w:t xml:space="preserve">2,500</w:t>
            </w:r>
          </w:p>
        </w:tc>
        <w:tc>
          <w:tcPr>
            <w:tcW w:type="dxa" w:w="2600"/>
            <w:tcMar>
              <w:top w:type="dxa" w:w="60"/>
              <w:left w:type="dxa" w:w="100"/>
              <w:bottom w:type="dxa" w:w="60"/>
              <w:right w:type="dxa" w:w="100"/>
            </w:tcMar>
          </w:tcPr>
          <w:p>
            <w:pPr>
              <w:keepNext/>
            </w:pPr>
            <w:r>
              <w:t xml:space="preserve">10 / 50 = 0.2</w:t>
            </w:r>
          </w:p>
        </w:tc>
        <w:tc>
          <w:tcPr>
            <w:tcW w:type="dxa" w:w="2000"/>
            <w:tcMar>
              <w:top w:type="dxa" w:w="60"/>
              <w:left w:type="dxa" w:w="100"/>
              <w:bottom w:type="dxa" w:w="60"/>
              <w:right w:type="dxa" w:w="100"/>
            </w:tcMar>
          </w:tcPr>
          <w:p>
            <w:pPr>
              <w:keepNext/>
            </w:pPr>
            <w:r>
              <w:t xml:space="preserve">1.2</w:t>
            </w:r>
          </w:p>
        </w:tc>
        <w:tc>
          <w:tcPr>
            <w:tcW w:type="dxa" w:w="2400"/>
            <w:tcMar>
              <w:top w:type="dxa" w:w="60"/>
              <w:left w:type="dxa" w:w="100"/>
              <w:bottom w:type="dxa" w:w="60"/>
              <w:right w:type="dxa" w:w="100"/>
            </w:tcMar>
          </w:tcPr>
          <w:p>
            <w:pPr>
              <w:keepNext/>
            </w:pPr>
            <w:r>
              <w:t xml:space="preserve">0.3</w:t>
            </w:r>
          </w:p>
        </w:tc>
      </w:tr>
      <w:tr>
        <w:trPr>
          <w:cantSplit/>
        </w:trPr>
        <w:tc>
          <w:tcPr>
            <w:tcW w:type="dxa" w:w="2000"/>
            <w:tcMar>
              <w:top w:type="dxa" w:w="60"/>
              <w:left w:type="dxa" w:w="100"/>
              <w:bottom w:type="dxa" w:w="60"/>
              <w:right w:type="dxa" w:w="100"/>
            </w:tcMar>
          </w:tcPr>
          <w:p>
            <w:pPr>
              <w:keepNext w:val="false"/>
            </w:pPr>
            <w:r>
              <w:t xml:space="preserve">10,000</w:t>
            </w:r>
          </w:p>
        </w:tc>
        <w:tc>
          <w:tcPr>
            <w:tcW w:type="dxa" w:w="2600"/>
            <w:tcMar>
              <w:top w:type="dxa" w:w="60"/>
              <w:left w:type="dxa" w:w="100"/>
              <w:bottom w:type="dxa" w:w="60"/>
              <w:right w:type="dxa" w:w="100"/>
            </w:tcMar>
          </w:tcPr>
          <w:p>
            <w:pPr>
              <w:keepNext w:val="false"/>
            </w:pPr>
            <w:r>
              <w:t xml:space="preserve">10 / 100 = 0.1</w:t>
            </w:r>
          </w:p>
        </w:tc>
        <w:tc>
          <w:tcPr>
            <w:tcW w:type="dxa" w:w="2000"/>
            <w:tcMar>
              <w:top w:type="dxa" w:w="60"/>
              <w:left w:type="dxa" w:w="100"/>
              <w:bottom w:type="dxa" w:w="60"/>
              <w:right w:type="dxa" w:w="100"/>
            </w:tcMar>
          </w:tcPr>
          <w:p>
            <w:pPr>
              <w:keepNext w:val="false"/>
            </w:pPr>
            <w:r>
              <w:t xml:space="preserve">1.1</w:t>
            </w:r>
          </w:p>
        </w:tc>
        <w:tc>
          <w:tcPr>
            <w:tcW w:type="dxa" w:w="2400"/>
            <w:tcMar>
              <w:top w:type="dxa" w:w="60"/>
              <w:left w:type="dxa" w:w="100"/>
              <w:bottom w:type="dxa" w:w="60"/>
              <w:right w:type="dxa" w:w="100"/>
            </w:tcMar>
          </w:tcPr>
          <w:p>
            <w:pPr>
              <w:keepNext w:val="false"/>
            </w:pPr>
            <w:r>
              <w:t xml:space="preserve">0.1</w:t>
            </w:r>
          </w:p>
        </w:tc>
      </w:tr>
    </w:tbl>
    <w:p>
      <w:pPr>
        <w:spacing w:after="100"/>
      </w:pPr>
    </w:p>
    <w:p>
      <w:pPr>
        <w:keepNext/>
        <w:keepLines/>
        <w:pBdr>
          <w:left w:val="single" w:color="8B2E2E" w:sz="24" w:space="8"/>
        </w:pBdr>
        <w:shd w:fill="FBEEE6" w:val="clear"/>
        <w:spacing w:after="60" w:before="160"/>
        <w:ind w:left="100"/>
      </w:pPr>
      <w:r>
        <w:rPr>
          <w:b/>
          <w:bCs/>
          <w:color w:val="8B2E2E"/>
        </w:rPr>
        <w:t xml:space="preserve">⭑ Important — Loss Falls with Size, but with Diminishing Returns</w:t>
      </w:r>
    </w:p>
    <w:p>
      <w:pPr>
        <w:keepLines/>
        <w:pBdr>
          <w:left w:val="single" w:color="8B2E2E" w:sz="24" w:space="8"/>
        </w:pBdr>
        <w:shd w:fill="FBEEE6" w:val="clear"/>
        <w:spacing w:after="220" w:before="0"/>
        <w:ind w:left="100"/>
      </w:pPr>
      <w:r>
        <w:t xml:space="preserve">As model size grows, the loss moves toward the limiting loss, but each increase buys less. In the example, going from 100 to 400 parameters cuts the loss by 0.5, while going from 2,500 to 10,000 cuts it by only 0.1. This is the core behavior of scaling laws: a bigger model always helps a little, and the gain per added parameter keeps shrinking, which is why size, data, and compute have to be balanced instead of pushing one of them alone.</w:t>
      </w:r>
    </w:p>
    <w:p>
      <w:pPr>
        <w:pStyle w:val="Heading1"/>
        <w:spacing w:after="160" w:before="320"/>
      </w:pPr>
      <w:r>
        <w:t xml:space="preserve">5. What A and α Control</w:t>
      </w:r>
    </w:p>
    <w:p>
      <w:pPr>
        <w:spacing w:after="200" w:line="300"/>
      </w:pPr>
      <w:r>
        <w:t xml:space="preserve">A sets the magnitude of the loss. With N = 100, α = 0.5, and L∞ = 1, the values A = 1, 5, 10, and 20 give losses of 1.1, 1.5, 2.0, and 3.0, so for the same model size a larger A means a larger loss. A comes from the dataset, so there is no universal value, and each dataset has its own pattern. The class examples keep it small.</w:t>
      </w:r>
    </w:p>
    <w:p>
      <w:pPr>
        <w:spacing w:after="200" w:line="300"/>
      </w:pPr>
      <w:r>
        <w:t xml:space="preserve">α sets the speed. Raising it makes N^α grow much faster, so the A / N^α term collapses toward zero sooner. At N = 100 and A = 10, α = 1, 2, and 3 give N^α = 100, 10,000, and 1,000,000, and losses of 1.1, 1.001, and 1.00001. The best way to absorb this is to build a small table of N and α and compute N^α and N^−α for several values; one calculation will not show the pattern, five or so will.</w:t>
      </w:r>
    </w:p>
    <w:p>
      <w:pPr>
        <w:spacing w:after="200" w:line="300"/>
      </w:pPr>
      <w:r>
        <w:t xml:space="preserve">In real research none of these constants is chosen by hand. L∞, A, and α are the three values researchers estimate: they train many configurations, on the order of tens up to a hundred, record the loss of each, and fit the constants to the results. The fitted values differ between papers and between datasets.</w:t>
      </w:r>
    </w:p>
    <w:p>
      <w:pPr>
        <w:pStyle w:val="Heading1"/>
        <w:spacing w:after="160" w:before="320"/>
      </w:pPr>
      <w:r>
        <w:t xml:space="preserve">6. The Chinchilla Guideline: About 20 Tokens per Parameter</w:t>
      </w:r>
    </w:p>
    <w:p>
      <w:pPr>
        <w:keepNext/>
        <w:spacing w:after="200" w:line="300"/>
      </w:pPr>
      <w:r>
        <w:t xml:space="preserve">Chinchilla gave one of the most useful rules of thumb in the field: the number of training tokens should be roughly 20 times the number of parameters, D ≈ 20N. It is a minimum to aim for, and you can go higher.</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4500"/>
        <w:gridCol w:w="4500"/>
      </w:tblGrid>
      <w:tr>
        <w:trPr>
          <w:tblHeader/>
        </w:trPr>
        <w:tc>
          <w:tcPr>
            <w:tcW w:type="dxa" w:w="4500"/>
            <w:shd w:fill="EDE3DA" w:val="clear"/>
            <w:tcMar>
              <w:top w:type="dxa" w:w="80"/>
              <w:left w:type="dxa" w:w="100"/>
              <w:bottom w:type="dxa" w:w="80"/>
              <w:right w:type="dxa" w:w="100"/>
            </w:tcMar>
          </w:tcPr>
          <w:p>
            <w:pPr>
              <w:keepNext/>
            </w:pPr>
            <w:r>
              <w:rPr>
                <w:b/>
                <w:bCs/>
              </w:rPr>
              <w:t xml:space="preserve">Model size N</w:t>
            </w:r>
          </w:p>
        </w:tc>
        <w:tc>
          <w:tcPr>
            <w:tcW w:type="dxa" w:w="4500"/>
            <w:shd w:fill="EDE3DA" w:val="clear"/>
            <w:tcMar>
              <w:top w:type="dxa" w:w="80"/>
              <w:left w:type="dxa" w:w="100"/>
              <w:bottom w:type="dxa" w:w="80"/>
              <w:right w:type="dxa" w:w="100"/>
            </w:tcMar>
          </w:tcPr>
          <w:p>
            <w:pPr>
              <w:keepNext/>
            </w:pPr>
            <w:r>
              <w:rPr>
                <w:b/>
                <w:bCs/>
              </w:rPr>
              <w:t xml:space="preserve">Training tokens D ≈ 20N</w:t>
            </w:r>
          </w:p>
        </w:tc>
      </w:tr>
      <w:tr>
        <w:trPr>
          <w:cantSplit/>
        </w:trPr>
        <w:tc>
          <w:tcPr>
            <w:tcW w:type="dxa" w:w="4500"/>
            <w:tcMar>
              <w:top w:type="dxa" w:w="60"/>
              <w:left w:type="dxa" w:w="100"/>
              <w:bottom w:type="dxa" w:w="60"/>
              <w:right w:type="dxa" w:w="100"/>
            </w:tcMar>
          </w:tcPr>
          <w:p>
            <w:pPr>
              <w:keepNext/>
            </w:pPr>
            <w:r>
              <w:t xml:space="preserve">1 billion</w:t>
            </w:r>
          </w:p>
        </w:tc>
        <w:tc>
          <w:tcPr>
            <w:tcW w:type="dxa" w:w="4500"/>
            <w:tcMar>
              <w:top w:type="dxa" w:w="60"/>
              <w:left w:type="dxa" w:w="100"/>
              <w:bottom w:type="dxa" w:w="60"/>
              <w:right w:type="dxa" w:w="100"/>
            </w:tcMar>
          </w:tcPr>
          <w:p>
            <w:pPr>
              <w:keepNext/>
            </w:pPr>
            <w:r>
              <w:t xml:space="preserve">20 billion</w:t>
            </w:r>
          </w:p>
        </w:tc>
      </w:tr>
      <w:tr>
        <w:trPr>
          <w:cantSplit/>
        </w:trPr>
        <w:tc>
          <w:tcPr>
            <w:tcW w:type="dxa" w:w="4500"/>
            <w:tcMar>
              <w:top w:type="dxa" w:w="60"/>
              <w:left w:type="dxa" w:w="100"/>
              <w:bottom w:type="dxa" w:w="60"/>
              <w:right w:type="dxa" w:w="100"/>
            </w:tcMar>
          </w:tcPr>
          <w:p>
            <w:pPr>
              <w:keepNext/>
            </w:pPr>
            <w:r>
              <w:t xml:space="preserve">7 billion</w:t>
            </w:r>
          </w:p>
        </w:tc>
        <w:tc>
          <w:tcPr>
            <w:tcW w:type="dxa" w:w="4500"/>
            <w:tcMar>
              <w:top w:type="dxa" w:w="60"/>
              <w:left w:type="dxa" w:w="100"/>
              <w:bottom w:type="dxa" w:w="60"/>
              <w:right w:type="dxa" w:w="100"/>
            </w:tcMar>
          </w:tcPr>
          <w:p>
            <w:pPr>
              <w:keepNext/>
            </w:pPr>
            <w:r>
              <w:t xml:space="preserve">140 billion</w:t>
            </w:r>
          </w:p>
        </w:tc>
      </w:tr>
      <w:tr>
        <w:trPr>
          <w:cantSplit/>
        </w:trPr>
        <w:tc>
          <w:tcPr>
            <w:tcW w:type="dxa" w:w="4500"/>
            <w:tcMar>
              <w:top w:type="dxa" w:w="60"/>
              <w:left w:type="dxa" w:w="100"/>
              <w:bottom w:type="dxa" w:w="60"/>
              <w:right w:type="dxa" w:w="100"/>
            </w:tcMar>
          </w:tcPr>
          <w:p>
            <w:pPr>
              <w:keepNext/>
            </w:pPr>
            <w:r>
              <w:t xml:space="preserve">70 billion</w:t>
            </w:r>
          </w:p>
        </w:tc>
        <w:tc>
          <w:tcPr>
            <w:tcW w:type="dxa" w:w="4500"/>
            <w:tcMar>
              <w:top w:type="dxa" w:w="60"/>
              <w:left w:type="dxa" w:w="100"/>
              <w:bottom w:type="dxa" w:w="60"/>
              <w:right w:type="dxa" w:w="100"/>
            </w:tcMar>
          </w:tcPr>
          <w:p>
            <w:pPr>
              <w:keepNext/>
            </w:pPr>
            <w:r>
              <w:t xml:space="preserve">1.4 trillion</w:t>
            </w:r>
          </w:p>
        </w:tc>
      </w:tr>
      <w:tr>
        <w:trPr>
          <w:cantSplit/>
        </w:trPr>
        <w:tc>
          <w:tcPr>
            <w:tcW w:type="dxa" w:w="4500"/>
            <w:tcMar>
              <w:top w:type="dxa" w:w="60"/>
              <w:left w:type="dxa" w:w="100"/>
              <w:bottom w:type="dxa" w:w="60"/>
              <w:right w:type="dxa" w:w="100"/>
            </w:tcMar>
          </w:tcPr>
          <w:p>
            <w:pPr>
              <w:keepNext w:val="false"/>
            </w:pPr>
            <w:r>
              <w:t xml:space="preserve">1 trillion</w:t>
            </w:r>
          </w:p>
        </w:tc>
        <w:tc>
          <w:tcPr>
            <w:tcW w:type="dxa" w:w="4500"/>
            <w:tcMar>
              <w:top w:type="dxa" w:w="60"/>
              <w:left w:type="dxa" w:w="100"/>
              <w:bottom w:type="dxa" w:w="60"/>
              <w:right w:type="dxa" w:w="100"/>
            </w:tcMar>
          </w:tcPr>
          <w:p>
            <w:pPr>
              <w:keepNext w:val="false"/>
            </w:pPr>
            <w:r>
              <w:t xml:space="preserve">20 trillion</w:t>
            </w:r>
          </w:p>
        </w:tc>
      </w:tr>
    </w:tbl>
    <w:p>
      <w:pPr>
        <w:spacing w:after="100"/>
      </w:pPr>
    </w:p>
    <w:p>
      <w:pPr>
        <w:keepNext/>
        <w:keepLines/>
        <w:pBdr>
          <w:left w:val="single" w:color="8B2E2E" w:sz="24" w:space="8"/>
        </w:pBdr>
        <w:shd w:fill="FBEEE6" w:val="clear"/>
        <w:spacing w:after="60" w:before="160"/>
        <w:ind w:left="100"/>
      </w:pPr>
      <w:r>
        <w:rPr>
          <w:b/>
          <w:bCs/>
          <w:color w:val="8B2E2E"/>
        </w:rPr>
        <w:t xml:space="preserve">⭑ Important — Roughly 20 Training Tokens per Parameter</w:t>
      </w:r>
    </w:p>
    <w:p>
      <w:pPr>
        <w:keepLines/>
        <w:pBdr>
          <w:left w:val="single" w:color="8B2E2E" w:sz="24" w:space="8"/>
        </w:pBdr>
        <w:shd w:fill="FBEEE6" w:val="clear"/>
        <w:spacing w:after="220" w:before="0"/>
        <w:ind w:left="100"/>
      </w:pPr>
      <w:r>
        <w:t xml:space="preserve">When you plan to train a model from scratch, multiply the parameter count by about 20 to get the minimum number of training tokens. It is a guideline, not an exact law: if you cannot reach 20 you can settle for 16 to 18, but you must not fall to 1 or 2 tokens per parameter. A model given far too little data underfits, the same problem you know from machine learning in general. D counts the total tokens in the complete training set, not unique tokens.</w:t>
      </w:r>
    </w:p>
    <w:p>
      <w:pPr>
        <w:spacing w:after="200" w:line="300"/>
      </w:pPr>
      <w:r>
        <w:t xml:space="preserve">Teams today hold large datasets and keep extending training with continued pre-training, so falling far below the ratio is the mistake to avoid. The ratio also comes from the Chinchilla experiments, so it belongs to that study: a different paper, dataset, or lab can fit a different number.</w:t>
      </w:r>
    </w:p>
    <w:p>
      <w:pPr>
        <w:pStyle w:val="Heading1"/>
        <w:spacing w:after="160" w:before="320"/>
      </w:pPr>
      <w:r>
        <w:t xml:space="preserve">7. Compute Budgets: How Model Size and Data Should Grow Together</w:t>
      </w:r>
    </w:p>
    <w:p>
      <w:pPr>
        <w:spacing w:after="200" w:line="300"/>
      </w:pPr>
      <w:r>
        <w:t xml:space="preserve">The next pair of equations asks what happens when the compute budget grows. They give the optimal model size and the optimal amount of training data as power laws of compute C: N_opt ∝ C^0.73 and D_opt ∝ C^0.27. Here “opt” means optimal, and the exponents are the crucial numbers. In words, as the training compute budget increases, the optimal model size grows, and so does the optimal amount of data, but at different rates.</w:t>
      </w:r>
    </w:p>
    <w:p>
      <w:pPr>
        <w:keepNext/>
        <w:spacing w:after="200" w:line="300"/>
      </w:pPr>
      <w:r>
        <w:t xml:space="preserve">To use them, compare a new budget with the old one by raising the compute ratio to each exponent:</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400"/>
        <w:gridCol w:w="3300"/>
        <w:gridCol w:w="3300"/>
      </w:tblGrid>
      <w:tr>
        <w:trPr>
          <w:tblHeader/>
        </w:trPr>
        <w:tc>
          <w:tcPr>
            <w:tcW w:type="dxa" w:w="2400"/>
            <w:shd w:fill="EDE3DA" w:val="clear"/>
            <w:tcMar>
              <w:top w:type="dxa" w:w="80"/>
              <w:left w:type="dxa" w:w="100"/>
              <w:bottom w:type="dxa" w:w="80"/>
              <w:right w:type="dxa" w:w="100"/>
            </w:tcMar>
          </w:tcPr>
          <w:p>
            <w:pPr>
              <w:keepNext/>
            </w:pPr>
            <w:r>
              <w:rPr>
                <w:b/>
                <w:bCs/>
              </w:rPr>
              <w:t xml:space="preserve">Compute grows by</w:t>
            </w:r>
          </w:p>
        </w:tc>
        <w:tc>
          <w:tcPr>
            <w:tcW w:type="dxa" w:w="3300"/>
            <w:shd w:fill="EDE3DA" w:val="clear"/>
            <w:tcMar>
              <w:top w:type="dxa" w:w="80"/>
              <w:left w:type="dxa" w:w="100"/>
              <w:bottom w:type="dxa" w:w="80"/>
              <w:right w:type="dxa" w:w="100"/>
            </w:tcMar>
          </w:tcPr>
          <w:p>
            <w:pPr>
              <w:keepNext/>
            </w:pPr>
            <w:r>
              <w:rPr>
                <w:b/>
                <w:bCs/>
              </w:rPr>
              <w:t xml:space="preserve">Model size grows by</w:t>
            </w:r>
          </w:p>
        </w:tc>
        <w:tc>
          <w:tcPr>
            <w:tcW w:type="dxa" w:w="3300"/>
            <w:shd w:fill="EDE3DA" w:val="clear"/>
            <w:tcMar>
              <w:top w:type="dxa" w:w="80"/>
              <w:left w:type="dxa" w:w="100"/>
              <w:bottom w:type="dxa" w:w="80"/>
              <w:right w:type="dxa" w:w="100"/>
            </w:tcMar>
          </w:tcPr>
          <w:p>
            <w:pPr>
              <w:keepNext/>
            </w:pPr>
            <w:r>
              <w:rPr>
                <w:b/>
                <w:bCs/>
              </w:rPr>
              <w:t xml:space="preserve">Data grows by</w:t>
            </w:r>
          </w:p>
        </w:tc>
      </w:tr>
      <w:tr>
        <w:trPr>
          <w:cantSplit/>
        </w:trPr>
        <w:tc>
          <w:tcPr>
            <w:tcW w:type="dxa" w:w="2400"/>
            <w:tcMar>
              <w:top w:type="dxa" w:w="60"/>
              <w:left w:type="dxa" w:w="100"/>
              <w:bottom w:type="dxa" w:w="60"/>
              <w:right w:type="dxa" w:w="100"/>
            </w:tcMar>
          </w:tcPr>
          <w:p>
            <w:pPr>
              <w:keepNext/>
            </w:pPr>
            <w:r>
              <w:t xml:space="preserve">4×</w:t>
            </w:r>
          </w:p>
        </w:tc>
        <w:tc>
          <w:tcPr>
            <w:tcW w:type="dxa" w:w="3300"/>
            <w:tcMar>
              <w:top w:type="dxa" w:w="60"/>
              <w:left w:type="dxa" w:w="100"/>
              <w:bottom w:type="dxa" w:w="60"/>
              <w:right w:type="dxa" w:w="100"/>
            </w:tcMar>
          </w:tcPr>
          <w:p>
            <w:pPr>
              <w:keepNext/>
            </w:pPr>
            <w:r>
              <w:t xml:space="preserve">≈ 2.75× (4^0.73)</w:t>
            </w:r>
          </w:p>
        </w:tc>
        <w:tc>
          <w:tcPr>
            <w:tcW w:type="dxa" w:w="3300"/>
            <w:tcMar>
              <w:top w:type="dxa" w:w="60"/>
              <w:left w:type="dxa" w:w="100"/>
              <w:bottom w:type="dxa" w:w="60"/>
              <w:right w:type="dxa" w:w="100"/>
            </w:tcMar>
          </w:tcPr>
          <w:p>
            <w:pPr>
              <w:keepNext/>
            </w:pPr>
            <w:r>
              <w:t xml:space="preserve">≈ 1.45× (4^0.27)</w:t>
            </w:r>
          </w:p>
        </w:tc>
      </w:tr>
      <w:tr>
        <w:trPr>
          <w:cantSplit/>
        </w:trPr>
        <w:tc>
          <w:tcPr>
            <w:tcW w:type="dxa" w:w="2400"/>
            <w:tcMar>
              <w:top w:type="dxa" w:w="60"/>
              <w:left w:type="dxa" w:w="100"/>
              <w:bottom w:type="dxa" w:w="60"/>
              <w:right w:type="dxa" w:w="100"/>
            </w:tcMar>
          </w:tcPr>
          <w:p>
            <w:pPr>
              <w:keepNext w:val="false"/>
            </w:pPr>
            <w:r>
              <w:t xml:space="preserve">8×</w:t>
            </w:r>
          </w:p>
        </w:tc>
        <w:tc>
          <w:tcPr>
            <w:tcW w:type="dxa" w:w="3300"/>
            <w:tcMar>
              <w:top w:type="dxa" w:w="60"/>
              <w:left w:type="dxa" w:w="100"/>
              <w:bottom w:type="dxa" w:w="60"/>
              <w:right w:type="dxa" w:w="100"/>
            </w:tcMar>
          </w:tcPr>
          <w:p>
            <w:pPr>
              <w:keepNext w:val="false"/>
            </w:pPr>
            <w:r>
              <w:t xml:space="preserve">≈ 4.56× (8^0.73)</w:t>
            </w:r>
          </w:p>
        </w:tc>
        <w:tc>
          <w:tcPr>
            <w:tcW w:type="dxa" w:w="3300"/>
            <w:tcMar>
              <w:top w:type="dxa" w:w="60"/>
              <w:left w:type="dxa" w:w="100"/>
              <w:bottom w:type="dxa" w:w="60"/>
              <w:right w:type="dxa" w:w="100"/>
            </w:tcMar>
          </w:tcPr>
          <w:p>
            <w:pPr>
              <w:keepNext w:val="false"/>
            </w:pPr>
            <w:r>
              <w:t xml:space="preserve">≈ 1.75× (8^0.27)</w:t>
            </w:r>
          </w:p>
        </w:tc>
      </w:tr>
    </w:tbl>
    <w:p>
      <w:pPr>
        <w:spacing w:after="100"/>
      </w:pPr>
    </w:p>
    <w:p>
      <w:pPr>
        <w:spacing w:after="200" w:line="300"/>
      </w:pPr>
      <w:r>
        <w:t xml:space="preserve">Two things stand out. Extra GPUs give you room to grow the parameter count, and under these exponents most of the extra budget goes into model size while the data grows less than proportionally. The two growth factors also multiply back to the compute growth (2.75 × 1.45 ≈ 4 and 4.56 × 1.75 ≈ 8), because the exponents add to 1. That matches the rule of thumb that training compute is about 6 × N × D: compute scales with the product of model size and data.</w:t>
      </w:r>
    </w:p>
    <w:p>
      <w:pPr>
        <w:spacing w:after="200" w:line="300"/>
      </w:pPr>
      <w:r>
        <w:t xml:space="preserve">A note on provenance: 0.73 and 0.27 are the exponents fitted in the Kaplan paper. Chinchilla's own fit puts both exponents near 0.5, so that model size and data grow about equally, and this is one of the places where it corrected Kaplan. As the class stressed, every paper fits its own values, and the numbers shift a little from one study to the next.</w:t>
      </w:r>
    </w:p>
    <w:p>
      <w:pPr>
        <w:keepNext/>
        <w:keepLines/>
        <w:pBdr>
          <w:left w:val="single" w:color="8B2E2E" w:sz="24" w:space="8"/>
        </w:pBdr>
        <w:shd w:fill="FBEEE6" w:val="clear"/>
        <w:spacing w:after="60" w:before="160"/>
        <w:ind w:left="100"/>
      </w:pPr>
      <w:r>
        <w:rPr>
          <w:b/>
          <w:bCs/>
          <w:color w:val="8B2E2E"/>
        </w:rPr>
        <w:t xml:space="preserve">⭑ Important — Compute Is the Fixed Budget; Size and Data Are the Levers</w:t>
      </w:r>
    </w:p>
    <w:p>
      <w:pPr>
        <w:keepLines/>
        <w:pBdr>
          <w:left w:val="single" w:color="8B2E2E" w:sz="24" w:space="8"/>
        </w:pBdr>
        <w:shd w:fill="FBEEE6" w:val="clear"/>
        <w:spacing w:after="220" w:before="0"/>
        <w:ind w:left="100"/>
      </w:pPr>
      <w:r>
        <w:t xml:space="preserve">Compute is always limited, so it is the constraint you fix first. The two dimensions you can adjust are model size and training data, and they have to move together. If the model grows faster than the training data, it is undertrained and the loss goes up. The planning question is therefore not how large the model can be, but how a given budget should be split between parameters and tokens.</w:t>
      </w:r>
    </w:p>
    <w:p>
      <w:pPr>
        <w:spacing w:after="200" w:line="300"/>
      </w:pPr>
      <w:r>
        <w:t xml:space="preserve">Because compute is measured in petaflops and the petaflop rate of each GPU is known, these equations let you estimate a training run's cost before you start, instead of launching blindly and checking back after weeks. For example, a 1-billion-parameter model on 20 billion tokens needs about 6 × 10^9 × 2 × 10^10 = 1.2 × 10^20 operations, roughly 1.4 PF-days. The estimate does not have to be exact to be useful; it only has to keep you in the right direction, which is what business teams doing cost planning need.</w:t>
      </w:r>
    </w:p>
    <w:p>
      <w:pPr>
        <w:pStyle w:val="Heading1"/>
        <w:spacing w:after="160" w:before="320"/>
      </w:pPr>
      <w:r>
        <w:t xml:space="preserve">8. Chinchilla vs Gopher: A Smaller Model That Did Better</w:t>
      </w:r>
    </w:p>
    <w:p>
      <w:pPr>
        <w:spacing w:after="200" w:line="300"/>
      </w:pPr>
      <w:r>
        <w:t xml:space="preserve">The main experiment in the Chinchilla paper compares two models: Gopher, with 280 billion parameters, and Chinchilla, with 70 billion, a quarter of the size. Chinchilla did better on the benchmarks they ran, which covered language modeling on many datasets (including medical text such as PubMed), reading comprehension, question answering, common sense, and BIG-bench tasks. This is the evidence for the point from Section 2: more parameters does not automatically mean a better model. The 20× rule explains why, since a 70-billion-parameter model should see about 1.4 trillion tokens, which is far more data per parameter than Gopher received.</w:t>
      </w:r>
    </w:p>
    <w:p>
      <w:pPr>
        <w:spacing w:after="200" w:line="300"/>
      </w:pPr>
      <w:r>
        <w:t xml:space="preserve">One benchmark to remember is MMLU (massive multitask language understanding), which is widely used to test general, open-ended LLMs and is a sensible test for a model of your own. Chinchilla scored about 67.6% against Gopher's 60%, a gain of 7.6 points, with average human experts quoted at about 89% for reference.</w:t>
      </w:r>
    </w:p>
    <w:p>
      <w:pPr>
        <w:spacing w:after="200" w:line="300"/>
      </w:pPr>
      <w:r>
        <w:t xml:space="preserve">The paper's configuration tables list things you can now read from the architecture classes: the number of layers (all layer types combined, including normalization, feed-forward, and attention), the number of heads, the key-value size, the model dimension, and the learning rate. The batch size is around 3 million tokens, which shows the scale of infrastructure involved. The results are reported on Google's TPUs rather than GPUs.</w:t>
      </w:r>
    </w:p>
    <w:p>
      <w:pPr>
        <w:pStyle w:val="Heading1"/>
        <w:spacing w:after="160" w:before="320"/>
      </w:pPr>
      <w:r>
        <w:t xml:space="preserve">9. Using the Laws: Guidelines, Not Universal Constants</w:t>
      </w:r>
    </w:p>
    <w:p>
      <w:pPr>
        <w:spacing w:after="200" w:line="300"/>
      </w:pPr>
      <w:r>
        <w:t xml:space="preserve">These equations come from experiments, not from theory, and each lab's data and setup produces its own constants. So treat them as guidance. The practical stance is to stay close to the guideline: moving far away from it works against the research, and while new research can certainly overturn it, nobody has a reason to bet on that. Every major LLM so far has followed these laws.</w:t>
      </w:r>
    </w:p>
    <w:p>
      <w:pPr>
        <w:keepNext/>
        <w:keepLines/>
        <w:pBdr>
          <w:left w:val="single" w:color="8B2E2E" w:sz="24" w:space="8"/>
        </w:pBdr>
        <w:shd w:fill="FBEEE6" w:val="clear"/>
        <w:spacing w:after="60" w:before="160"/>
        <w:ind w:left="100"/>
      </w:pPr>
      <w:r>
        <w:rPr>
          <w:b/>
          <w:bCs/>
          <w:color w:val="8B2E2E"/>
        </w:rPr>
        <w:t xml:space="preserve">⭑ Important — Guidelines, Not Universal Constants</w:t>
      </w:r>
    </w:p>
    <w:p>
      <w:pPr>
        <w:keepLines/>
        <w:pBdr>
          <w:left w:val="single" w:color="8B2E2E" w:sz="24" w:space="8"/>
        </w:pBdr>
        <w:shd w:fill="FBEEE6" w:val="clear"/>
        <w:spacing w:after="220" w:before="0"/>
        <w:ind w:left="100"/>
      </w:pPr>
      <w:r>
        <w:t xml:space="preserve">L∞, A, α, the exponents 0.73 and 0.27, and the ratio of 20 are all fitted from a particular set of experiments. A different paper, dataset, or AI lab gets different values. What carries over is the shape of the relationship: loss improves with size and data but with diminishing returns, compute is the fixed budget, and size and data should grow together. Use the numbers as a starting point and stay near them instead of treating them as exact.</w:t>
      </w:r>
    </w:p>
    <w:p>
      <w:pPr>
        <w:spacing w:after="200" w:line="300"/>
      </w:pPr>
      <w:r>
        <w:t xml:space="preserve">The same laws apply to vision-language models, with image patches taking the place of tokens. This year also brought scaling laws for reinforcement learning, which will matter for RL-based fine-tuning methods such as RLVR. If you are not doing any training, these laws matter much less to you.</w:t>
      </w:r>
    </w:p>
    <w:p>
      <w:pPr>
        <w:spacing w:after="200" w:line="300"/>
      </w:pPr>
      <w:r>
        <w:t xml:space="preserve">For self-study, read each paper's summary and its graphs rather than every equation, and aim to take the intuition away. The recommended exercise is to build your own small tables: try 100 million, 1 billion, 7 billion, 30 billion, and 100 billion parameters and see what the equations say about loss, tokens, and compute.</w:t>
      </w:r>
    </w:p>
    <w:p>
      <w:pPr>
        <w:pStyle w:val="Heading1"/>
        <w:spacing w:after="160" w:before="320"/>
      </w:pPr>
      <w:r>
        <w:t xml:space="preserve">Closing Notes / What's Next</w:t>
      </w:r>
    </w:p>
    <w:p>
      <w:pPr>
        <w:spacing w:after="200" w:line="300"/>
      </w:pPr>
      <w:r>
        <w:t xml:space="preserve">Scaling laws describe a trade-off among three dimensions: model size, data, and compute. Loss falls as the model grows but with diminishing returns toward a floor, the Chinchilla guideline asks for about 20 training tokens per parameter, and a larger compute budget should be split between more parameters and more data. Because compute is always limited, the real decisions are about balancing the other two, and the Chinchilla versus Gopher result shows that balance can matter more than raw size.</w:t>
      </w:r>
    </w:p>
    <w:p>
      <w:pPr>
        <w:spacing w:after="200" w:line="300"/>
      </w:pPr>
      <w:r>
        <w:t xml:space="preserve">The remaining equations in the papers, including the ones that combine model size and data in a single loss expression, will be taken up before the fine-tuning module, where these ideas guide choices of model size, data volume, and training budget. The coming classes first move on to LangChain and RAG, then fine-tuning; vision-language models, reasoning, and mixture of experts come later in the course.</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pPr>
              <w:keepNext w:val="false"/>
            </w:pPr>
            <w:r>
              <w:rPr>
                <w:b/>
                <w:bCs/>
              </w:rPr>
              <w:t xml:space="preserve">Term</w:t>
            </w:r>
          </w:p>
        </w:tc>
        <w:tc>
          <w:tcPr>
            <w:tcW w:type="dxa" w:w="6200"/>
            <w:shd w:fill="EDE3DA" w:val="clear"/>
            <w:tcMar>
              <w:top w:type="dxa" w:w="80"/>
              <w:left w:type="dxa" w:w="100"/>
              <w:bottom w:type="dxa" w:w="80"/>
              <w:right w:type="dxa" w:w="100"/>
            </w:tcMar>
          </w:tcPr>
          <w:p>
            <w:pPr>
              <w:keepNext w:val="false"/>
            </w:pPr>
            <w:r>
              <w:rPr>
                <w:b/>
                <w:bCs/>
              </w:rPr>
              <w:t xml:space="preserve">Meaning</w:t>
            </w:r>
          </w:p>
        </w:tc>
      </w:tr>
      <w:tr>
        <w:trPr>
          <w:cantSplit/>
        </w:trPr>
        <w:tc>
          <w:tcPr>
            <w:tcW w:type="dxa" w:w="2800"/>
            <w:tcMar>
              <w:top w:type="dxa" w:w="60"/>
              <w:left w:type="dxa" w:w="100"/>
              <w:bottom w:type="dxa" w:w="60"/>
              <w:right w:type="dxa" w:w="100"/>
            </w:tcMar>
          </w:tcPr>
          <w:p>
            <w:pPr>
              <w:keepNext w:val="false"/>
            </w:pPr>
            <w:r>
              <w:t xml:space="preserve">Scaling laws</w:t>
            </w:r>
          </w:p>
        </w:tc>
        <w:tc>
          <w:tcPr>
            <w:tcW w:type="dxa" w:w="6200"/>
            <w:tcMar>
              <w:top w:type="dxa" w:w="60"/>
              <w:left w:type="dxa" w:w="100"/>
              <w:bottom w:type="dxa" w:w="60"/>
              <w:right w:type="dxa" w:w="100"/>
            </w:tcMar>
          </w:tcPr>
          <w:p>
            <w:pPr>
              <w:keepNext w:val="false"/>
            </w:pPr>
            <w:r>
              <w:t xml:space="preserve">Empirical relationships showing how loss changes with model size, data, and compute.</w:t>
            </w:r>
          </w:p>
        </w:tc>
      </w:tr>
      <w:tr>
        <w:trPr>
          <w:cantSplit/>
        </w:trPr>
        <w:tc>
          <w:tcPr>
            <w:tcW w:type="dxa" w:w="2800"/>
            <w:tcMar>
              <w:top w:type="dxa" w:w="60"/>
              <w:left w:type="dxa" w:w="100"/>
              <w:bottom w:type="dxa" w:w="60"/>
              <w:right w:type="dxa" w:w="100"/>
            </w:tcMar>
          </w:tcPr>
          <w:p>
            <w:pPr>
              <w:keepNext w:val="false"/>
            </w:pPr>
            <w:r>
              <w:t xml:space="preserve">Kaplan laws</w:t>
            </w:r>
          </w:p>
        </w:tc>
        <w:tc>
          <w:tcPr>
            <w:tcW w:type="dxa" w:w="6200"/>
            <w:tcMar>
              <w:top w:type="dxa" w:w="60"/>
              <w:left w:type="dxa" w:w="100"/>
              <w:bottom w:type="dxa" w:w="60"/>
              <w:right w:type="dxa" w:w="100"/>
            </w:tcMar>
          </w:tcPr>
          <w:p>
            <w:pPr>
              <w:keepNext w:val="false"/>
            </w:pPr>
            <w:r>
              <w:t xml:space="preserve">The original scaling-law paper, from OpenAI.</w:t>
            </w:r>
          </w:p>
        </w:tc>
      </w:tr>
      <w:tr>
        <w:trPr>
          <w:cantSplit/>
        </w:trPr>
        <w:tc>
          <w:tcPr>
            <w:tcW w:type="dxa" w:w="2800"/>
            <w:tcMar>
              <w:top w:type="dxa" w:w="60"/>
              <w:left w:type="dxa" w:w="100"/>
              <w:bottom w:type="dxa" w:w="60"/>
              <w:right w:type="dxa" w:w="100"/>
            </w:tcMar>
          </w:tcPr>
          <w:p>
            <w:pPr>
              <w:keepNext w:val="false"/>
            </w:pPr>
            <w:r>
              <w:t xml:space="preserve">Chinchilla laws</w:t>
            </w:r>
          </w:p>
        </w:tc>
        <w:tc>
          <w:tcPr>
            <w:tcW w:type="dxa" w:w="6200"/>
            <w:tcMar>
              <w:top w:type="dxa" w:w="60"/>
              <w:left w:type="dxa" w:w="100"/>
              <w:bottom w:type="dxa" w:w="60"/>
              <w:right w:type="dxa" w:w="100"/>
            </w:tcMar>
          </w:tcPr>
          <w:p>
            <w:pPr>
              <w:keepNext w:val="false"/>
            </w:pPr>
            <w:r>
              <w:t xml:space="preserve">The Google DeepMind paper that revisited and corrected Kaplan; source of the 20-tokens-per-parameter guideline.</w:t>
            </w:r>
          </w:p>
        </w:tc>
      </w:tr>
      <w:tr>
        <w:trPr>
          <w:cantSplit/>
        </w:trPr>
        <w:tc>
          <w:tcPr>
            <w:tcW w:type="dxa" w:w="2800"/>
            <w:tcMar>
              <w:top w:type="dxa" w:w="60"/>
              <w:left w:type="dxa" w:w="100"/>
              <w:bottom w:type="dxa" w:w="60"/>
              <w:right w:type="dxa" w:w="100"/>
            </w:tcMar>
          </w:tcPr>
          <w:p>
            <w:pPr>
              <w:keepNext w:val="false"/>
            </w:pPr>
            <w:r>
              <w:t xml:space="preserve">Model size (N)</w:t>
            </w:r>
          </w:p>
        </w:tc>
        <w:tc>
          <w:tcPr>
            <w:tcW w:type="dxa" w:w="6200"/>
            <w:tcMar>
              <w:top w:type="dxa" w:w="60"/>
              <w:left w:type="dxa" w:w="100"/>
              <w:bottom w:type="dxa" w:w="60"/>
              <w:right w:type="dxa" w:w="100"/>
            </w:tcMar>
          </w:tcPr>
          <w:p>
            <w:pPr>
              <w:keepNext w:val="false"/>
            </w:pPr>
            <w:r>
              <w:t xml:space="preserve">The number of non-embedding trainable parameters.</w:t>
            </w:r>
          </w:p>
        </w:tc>
      </w:tr>
      <w:tr>
        <w:trPr>
          <w:cantSplit/>
        </w:trPr>
        <w:tc>
          <w:tcPr>
            <w:tcW w:type="dxa" w:w="2800"/>
            <w:tcMar>
              <w:top w:type="dxa" w:w="60"/>
              <w:left w:type="dxa" w:w="100"/>
              <w:bottom w:type="dxa" w:w="60"/>
              <w:right w:type="dxa" w:w="100"/>
            </w:tcMar>
          </w:tcPr>
          <w:p>
            <w:pPr>
              <w:keepNext w:val="false"/>
            </w:pPr>
            <w:r>
              <w:t xml:space="preserve">Non-embedding parameters</w:t>
            </w:r>
          </w:p>
        </w:tc>
        <w:tc>
          <w:tcPr>
            <w:tcW w:type="dxa" w:w="6200"/>
            <w:tcMar>
              <w:top w:type="dxa" w:w="60"/>
              <w:left w:type="dxa" w:w="100"/>
              <w:bottom w:type="dxa" w:w="60"/>
              <w:right w:type="dxa" w:w="100"/>
            </w:tcMar>
          </w:tcPr>
          <w:p>
            <w:pPr>
              <w:keepNext w:val="false"/>
            </w:pPr>
            <w:r>
              <w:t xml:space="preserve">Parameters in the layers only; the separate embedding table is excluded.</w:t>
            </w:r>
          </w:p>
        </w:tc>
      </w:tr>
      <w:tr>
        <w:trPr>
          <w:cantSplit/>
        </w:trPr>
        <w:tc>
          <w:tcPr>
            <w:tcW w:type="dxa" w:w="2800"/>
            <w:tcMar>
              <w:top w:type="dxa" w:w="60"/>
              <w:left w:type="dxa" w:w="100"/>
              <w:bottom w:type="dxa" w:w="60"/>
              <w:right w:type="dxa" w:w="100"/>
            </w:tcMar>
          </w:tcPr>
          <w:p>
            <w:pPr>
              <w:keepNext w:val="false"/>
            </w:pPr>
            <w:r>
              <w:t xml:space="preserve">Non-trainable parameters</w:t>
            </w:r>
          </w:p>
        </w:tc>
        <w:tc>
          <w:tcPr>
            <w:tcW w:type="dxa" w:w="6200"/>
            <w:tcMar>
              <w:top w:type="dxa" w:w="60"/>
              <w:left w:type="dxa" w:w="100"/>
              <w:bottom w:type="dxa" w:w="60"/>
              <w:right w:type="dxa" w:w="100"/>
            </w:tcMar>
          </w:tcPr>
          <w:p>
            <w:pPr>
              <w:keepNext w:val="false"/>
            </w:pPr>
            <w:r>
              <w:t xml:space="preserve">Fixed values training does not update, such as batch normalization's saved moving mean and standard deviation.</w:t>
            </w:r>
          </w:p>
        </w:tc>
      </w:tr>
      <w:tr>
        <w:trPr>
          <w:cantSplit/>
        </w:trPr>
        <w:tc>
          <w:tcPr>
            <w:tcW w:type="dxa" w:w="2800"/>
            <w:tcMar>
              <w:top w:type="dxa" w:w="60"/>
              <w:left w:type="dxa" w:w="100"/>
              <w:bottom w:type="dxa" w:w="60"/>
              <w:right w:type="dxa" w:w="100"/>
            </w:tcMar>
          </w:tcPr>
          <w:p>
            <w:pPr>
              <w:keepNext w:val="false"/>
            </w:pPr>
            <w:r>
              <w:t xml:space="preserve">Dataset size (D)</w:t>
            </w:r>
          </w:p>
        </w:tc>
        <w:tc>
          <w:tcPr>
            <w:tcW w:type="dxa" w:w="6200"/>
            <w:tcMar>
              <w:top w:type="dxa" w:w="60"/>
              <w:left w:type="dxa" w:w="100"/>
              <w:bottom w:type="dxa" w:w="60"/>
              <w:right w:type="dxa" w:w="100"/>
            </w:tcMar>
          </w:tcPr>
          <w:p>
            <w:pPr>
              <w:keepNext w:val="false"/>
            </w:pPr>
            <w:r>
              <w:t xml:space="preserve">The total number of tokens in the training set.</w:t>
            </w:r>
          </w:p>
        </w:tc>
      </w:tr>
      <w:tr>
        <w:trPr>
          <w:cantSplit/>
        </w:trPr>
        <w:tc>
          <w:tcPr>
            <w:tcW w:type="dxa" w:w="2800"/>
            <w:tcMar>
              <w:top w:type="dxa" w:w="60"/>
              <w:left w:type="dxa" w:w="100"/>
              <w:bottom w:type="dxa" w:w="60"/>
              <w:right w:type="dxa" w:w="100"/>
            </w:tcMar>
          </w:tcPr>
          <w:p>
            <w:pPr>
              <w:keepNext w:val="false"/>
            </w:pPr>
            <w:r>
              <w:t xml:space="preserve">Compute (C)</w:t>
            </w:r>
          </w:p>
        </w:tc>
        <w:tc>
          <w:tcPr>
            <w:tcW w:type="dxa" w:w="6200"/>
            <w:tcMar>
              <w:top w:type="dxa" w:w="60"/>
              <w:left w:type="dxa" w:w="100"/>
              <w:bottom w:type="dxa" w:w="60"/>
              <w:right w:type="dxa" w:w="100"/>
            </w:tcMar>
          </w:tcPr>
          <w:p>
            <w:pPr>
              <w:keepNext w:val="false"/>
            </w:pPr>
            <w:r>
              <w:t xml:space="preserve">Training effort counted in floating-point operations, in petaflops.</w:t>
            </w:r>
          </w:p>
        </w:tc>
      </w:tr>
      <w:tr>
        <w:trPr>
          <w:cantSplit/>
        </w:trPr>
        <w:tc>
          <w:tcPr>
            <w:tcW w:type="dxa" w:w="2800"/>
            <w:tcMar>
              <w:top w:type="dxa" w:w="60"/>
              <w:left w:type="dxa" w:w="100"/>
              <w:bottom w:type="dxa" w:w="60"/>
              <w:right w:type="dxa" w:w="100"/>
            </w:tcMar>
          </w:tcPr>
          <w:p>
            <w:pPr>
              <w:keepNext w:val="false"/>
            </w:pPr>
            <w:r>
              <w:t xml:space="preserve">PF-day</w:t>
            </w:r>
          </w:p>
        </w:tc>
        <w:tc>
          <w:tcPr>
            <w:tcW w:type="dxa" w:w="6200"/>
            <w:tcMar>
              <w:top w:type="dxa" w:w="60"/>
              <w:left w:type="dxa" w:w="100"/>
              <w:bottom w:type="dxa" w:w="60"/>
              <w:right w:type="dxa" w:w="100"/>
            </w:tcMar>
          </w:tcPr>
          <w:p>
            <w:pPr>
              <w:keepNext w:val="false"/>
            </w:pPr>
            <w:r>
              <w:t xml:space="preserve">One petaflop per second sustained for 24 hours, about 8.64 × 10^19 operations.</w:t>
            </w:r>
          </w:p>
        </w:tc>
      </w:tr>
      <w:tr>
        <w:trPr>
          <w:cantSplit/>
        </w:trPr>
        <w:tc>
          <w:tcPr>
            <w:tcW w:type="dxa" w:w="2800"/>
            <w:tcMar>
              <w:top w:type="dxa" w:w="60"/>
              <w:left w:type="dxa" w:w="100"/>
              <w:bottom w:type="dxa" w:w="60"/>
              <w:right w:type="dxa" w:w="100"/>
            </w:tcMar>
          </w:tcPr>
          <w:p>
            <w:pPr>
              <w:keepNext w:val="false"/>
            </w:pPr>
            <w:r>
              <w:t xml:space="preserve">Cross-entropy loss</w:t>
            </w:r>
          </w:p>
        </w:tc>
        <w:tc>
          <w:tcPr>
            <w:tcW w:type="dxa" w:w="6200"/>
            <w:tcMar>
              <w:top w:type="dxa" w:w="60"/>
              <w:left w:type="dxa" w:w="100"/>
              <w:bottom w:type="dxa" w:w="60"/>
              <w:right w:type="dxa" w:w="100"/>
            </w:tcMar>
          </w:tcPr>
          <w:p>
            <w:pPr>
              <w:keepNext w:val="false"/>
            </w:pPr>
            <w:r>
              <w:t xml:space="preserve">The loss function used for next-token prediction, as in classification.</w:t>
            </w:r>
          </w:p>
        </w:tc>
      </w:tr>
      <w:tr>
        <w:trPr>
          <w:cantSplit/>
        </w:trPr>
        <w:tc>
          <w:tcPr>
            <w:tcW w:type="dxa" w:w="2800"/>
            <w:tcMar>
              <w:top w:type="dxa" w:w="60"/>
              <w:left w:type="dxa" w:w="100"/>
              <w:bottom w:type="dxa" w:w="60"/>
              <w:right w:type="dxa" w:w="100"/>
            </w:tcMar>
          </w:tcPr>
          <w:p>
            <w:pPr>
              <w:keepNext w:val="false"/>
            </w:pPr>
            <w:r>
              <w:t xml:space="preserve">Limiting loss (L∞)</w:t>
            </w:r>
          </w:p>
        </w:tc>
        <w:tc>
          <w:tcPr>
            <w:tcW w:type="dxa" w:w="6200"/>
            <w:tcMar>
              <w:top w:type="dxa" w:w="60"/>
              <w:left w:type="dxa" w:w="100"/>
              <w:bottom w:type="dxa" w:w="60"/>
              <w:right w:type="dxa" w:w="100"/>
            </w:tcMar>
          </w:tcPr>
          <w:p>
            <w:pPr>
              <w:keepNext w:val="false"/>
            </w:pPr>
            <w:r>
              <w:t xml:space="preserve">The floor the loss approaches as the model grows.</w:t>
            </w:r>
          </w:p>
        </w:tc>
      </w:tr>
      <w:tr>
        <w:trPr>
          <w:cantSplit/>
        </w:trPr>
        <w:tc>
          <w:tcPr>
            <w:tcW w:type="dxa" w:w="2800"/>
            <w:tcMar>
              <w:top w:type="dxa" w:w="60"/>
              <w:left w:type="dxa" w:w="100"/>
              <w:bottom w:type="dxa" w:w="60"/>
              <w:right w:type="dxa" w:w="100"/>
            </w:tcMar>
          </w:tcPr>
          <w:p>
            <w:pPr>
              <w:keepNext w:val="false"/>
            </w:pPr>
            <w:r>
              <w:t xml:space="preserve">Constant A</w:t>
            </w:r>
          </w:p>
        </w:tc>
        <w:tc>
          <w:tcPr>
            <w:tcW w:type="dxa" w:w="6200"/>
            <w:tcMar>
              <w:top w:type="dxa" w:w="60"/>
              <w:left w:type="dxa" w:w="100"/>
              <w:bottom w:type="dxa" w:w="60"/>
              <w:right w:type="dxa" w:w="100"/>
            </w:tcMar>
          </w:tcPr>
          <w:p>
            <w:pPr>
              <w:keepNext w:val="false"/>
            </w:pPr>
            <w:r>
              <w:t xml:space="preserve">A fitted, dataset-dependent value that sets the magnitude of the loss.</w:t>
            </w:r>
          </w:p>
        </w:tc>
      </w:tr>
      <w:tr>
        <w:trPr>
          <w:cantSplit/>
        </w:trPr>
        <w:tc>
          <w:tcPr>
            <w:tcW w:type="dxa" w:w="2800"/>
            <w:tcMar>
              <w:top w:type="dxa" w:w="60"/>
              <w:left w:type="dxa" w:w="100"/>
              <w:bottom w:type="dxa" w:w="60"/>
              <w:right w:type="dxa" w:w="100"/>
            </w:tcMar>
          </w:tcPr>
          <w:p>
            <w:pPr>
              <w:keepNext w:val="false"/>
            </w:pPr>
            <w:r>
              <w:t xml:space="preserve">Scaling exponent (α)</w:t>
            </w:r>
          </w:p>
        </w:tc>
        <w:tc>
          <w:tcPr>
            <w:tcW w:type="dxa" w:w="6200"/>
            <w:tcMar>
              <w:top w:type="dxa" w:w="60"/>
              <w:left w:type="dxa" w:w="100"/>
              <w:bottom w:type="dxa" w:w="60"/>
              <w:right w:type="dxa" w:w="100"/>
            </w:tcMar>
          </w:tcPr>
          <w:p>
            <w:pPr>
              <w:keepNext w:val="false"/>
            </w:pPr>
            <w:r>
              <w:t xml:space="preserve">A positive exponent controlling how fast the loss falls as N grows.</w:t>
            </w:r>
          </w:p>
        </w:tc>
      </w:tr>
      <w:tr>
        <w:trPr>
          <w:cantSplit/>
        </w:trPr>
        <w:tc>
          <w:tcPr>
            <w:tcW w:type="dxa" w:w="2800"/>
            <w:tcMar>
              <w:top w:type="dxa" w:w="60"/>
              <w:left w:type="dxa" w:w="100"/>
              <w:bottom w:type="dxa" w:w="60"/>
              <w:right w:type="dxa" w:w="100"/>
            </w:tcMar>
          </w:tcPr>
          <w:p>
            <w:pPr>
              <w:keepNext w:val="false"/>
            </w:pPr>
            <w:r>
              <w:t xml:space="preserve">D ≈ 20N</w:t>
            </w:r>
          </w:p>
        </w:tc>
        <w:tc>
          <w:tcPr>
            <w:tcW w:type="dxa" w:w="6200"/>
            <w:tcMar>
              <w:top w:type="dxa" w:w="60"/>
              <w:left w:type="dxa" w:w="100"/>
              <w:bottom w:type="dxa" w:w="60"/>
              <w:right w:type="dxa" w:w="100"/>
            </w:tcMar>
          </w:tcPr>
          <w:p>
            <w:pPr>
              <w:keepNext w:val="false"/>
            </w:pPr>
            <w:r>
              <w:t xml:space="preserve">Chinchilla's guideline of about 20 training tokens per parameter.</w:t>
            </w:r>
          </w:p>
        </w:tc>
      </w:tr>
      <w:tr>
        <w:trPr>
          <w:cantSplit/>
        </w:trPr>
        <w:tc>
          <w:tcPr>
            <w:tcW w:type="dxa" w:w="2800"/>
            <w:tcMar>
              <w:top w:type="dxa" w:w="60"/>
              <w:left w:type="dxa" w:w="100"/>
              <w:bottom w:type="dxa" w:w="60"/>
              <w:right w:type="dxa" w:w="100"/>
            </w:tcMar>
          </w:tcPr>
          <w:p>
            <w:pPr>
              <w:keepNext w:val="false"/>
            </w:pPr>
            <w:r>
              <w:t xml:space="preserve">N_opt and D_opt</w:t>
            </w:r>
          </w:p>
        </w:tc>
        <w:tc>
          <w:tcPr>
            <w:tcW w:type="dxa" w:w="6200"/>
            <w:tcMar>
              <w:top w:type="dxa" w:w="60"/>
              <w:left w:type="dxa" w:w="100"/>
              <w:bottom w:type="dxa" w:w="60"/>
              <w:right w:type="dxa" w:w="100"/>
            </w:tcMar>
          </w:tcPr>
          <w:p>
            <w:pPr>
              <w:keepNext w:val="false"/>
            </w:pPr>
            <w:r>
              <w:t xml:space="preserve">The optimal model size and amount of training data for a given compute budget.</w:t>
            </w:r>
          </w:p>
        </w:tc>
      </w:tr>
      <w:tr>
        <w:trPr>
          <w:cantSplit/>
        </w:trPr>
        <w:tc>
          <w:tcPr>
            <w:tcW w:type="dxa" w:w="2800"/>
            <w:tcMar>
              <w:top w:type="dxa" w:w="60"/>
              <w:left w:type="dxa" w:w="100"/>
              <w:bottom w:type="dxa" w:w="60"/>
              <w:right w:type="dxa" w:w="100"/>
            </w:tcMar>
          </w:tcPr>
          <w:p>
            <w:pPr>
              <w:keepNext w:val="false"/>
            </w:pPr>
            <w:r>
              <w:t xml:space="preserve">Gopher and Chinchilla (models)</w:t>
            </w:r>
          </w:p>
        </w:tc>
        <w:tc>
          <w:tcPr>
            <w:tcW w:type="dxa" w:w="6200"/>
            <w:tcMar>
              <w:top w:type="dxa" w:w="60"/>
              <w:left w:type="dxa" w:w="100"/>
              <w:bottom w:type="dxa" w:w="60"/>
              <w:right w:type="dxa" w:w="100"/>
            </w:tcMar>
          </w:tcPr>
          <w:p>
            <w:pPr>
              <w:keepNext w:val="false"/>
            </w:pPr>
            <w:r>
              <w:t xml:space="preserve">The 280-billion and 70-billion-parameter models compared in the Chinchilla paper.</w:t>
            </w:r>
          </w:p>
        </w:tc>
      </w:tr>
      <w:tr>
        <w:trPr>
          <w:cantSplit/>
        </w:trPr>
        <w:tc>
          <w:tcPr>
            <w:tcW w:type="dxa" w:w="2800"/>
            <w:tcMar>
              <w:top w:type="dxa" w:w="60"/>
              <w:left w:type="dxa" w:w="100"/>
              <w:bottom w:type="dxa" w:w="60"/>
              <w:right w:type="dxa" w:w="100"/>
            </w:tcMar>
          </w:tcPr>
          <w:p>
            <w:pPr>
              <w:keepNext w:val="false"/>
            </w:pPr>
            <w:r>
              <w:t xml:space="preserve">MMLU</w:t>
            </w:r>
          </w:p>
        </w:tc>
        <w:tc>
          <w:tcPr>
            <w:tcW w:type="dxa" w:w="6200"/>
            <w:tcMar>
              <w:top w:type="dxa" w:w="60"/>
              <w:left w:type="dxa" w:w="100"/>
              <w:bottom w:type="dxa" w:w="60"/>
              <w:right w:type="dxa" w:w="100"/>
            </w:tcMar>
          </w:tcPr>
          <w:p>
            <w:pPr>
              <w:keepNext w:val="false"/>
            </w:pPr>
            <w:r>
              <w:t xml:space="preserve">Massive multitask language understanding: a widely used general benchmark for LLMs.</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keepNext/>
        <w:spacing w:after="80" w:before="200"/>
      </w:pPr>
      <w:r>
        <w:rPr>
          <w:b/>
          <w:bCs/>
          <w:color w:val="8B2E2E"/>
        </w:rPr>
        <w:t xml:space="preserve">Q: Doesn't more compute just make training faster, without changing model quality?</w:t>
      </w:r>
    </w:p>
    <w:p>
      <w:pPr>
        <w:spacing w:after="120" w:line="300"/>
      </w:pPr>
      <w:r>
        <w:t xml:space="preserve">A: Not in this framework. Compute is the budget, and the budget limits how large a model you can train and on how much data. With the budget fixed, a large model given too little data does worse, so you have to reason about all three dimensions and how they affect one another.</w:t>
      </w:r>
    </w:p>
    <w:p>
      <w:pPr>
        <w:keepNext/>
        <w:spacing w:after="80" w:before="200"/>
      </w:pPr>
      <w:r>
        <w:rPr>
          <w:b/>
          <w:bCs/>
          <w:color w:val="8B2E2E"/>
        </w:rPr>
        <w:t xml:space="preserve">Q: Isn't model architecture one of the main dimensions?</w:t>
      </w:r>
    </w:p>
    <w:p>
      <w:pPr>
        <w:spacing w:after="120" w:line="300"/>
      </w:pPr>
      <w:r>
        <w:t xml:space="preserve">A: It is how you set one of them. The architecture you design, with its layers, widths, and heads, determines the number of non-embedding parameters, which is the model size N.</w:t>
      </w:r>
    </w:p>
    <w:p>
      <w:pPr>
        <w:keepNext/>
        <w:spacing w:after="80" w:before="200"/>
      </w:pPr>
      <w:r>
        <w:rPr>
          <w:b/>
          <w:bCs/>
          <w:color w:val="8B2E2E"/>
        </w:rPr>
        <w:t xml:space="preserve">Q: Is a frozen layer the same thing as a non-trainable parameter?</w:t>
      </w:r>
    </w:p>
    <w:p>
      <w:pPr>
        <w:spacing w:after="120" w:line="300"/>
      </w:pPr>
      <w:r>
        <w:t xml:space="preserve">A: No. Non-trainable parameters are values such as batch normalization's saved moving mean and standard deviation, which training never updates but inference needs. Freezing is a choice about which weights to update during fine-tuning. Dense layers, for example, are mostly trainable.</w:t>
      </w:r>
    </w:p>
    <w:p>
      <w:pPr>
        <w:keepNext/>
        <w:spacing w:after="80" w:before="200"/>
      </w:pPr>
      <w:r>
        <w:rPr>
          <w:b/>
          <w:bCs/>
          <w:color w:val="8B2E2E"/>
        </w:rPr>
        <w:t xml:space="preserve">Q: How do researchers find A, α, and the limiting loss?</w:t>
      </w:r>
    </w:p>
    <w:p>
      <w:pPr>
        <w:spacing w:after="120" w:line="300"/>
      </w:pPr>
      <w:r>
        <w:t xml:space="preserve">A: You cannot guess them from the dataset's tokens. Researchers train something like a hundred configurations, record the loss of each, and fit the constants to those results. In the class examples A stays small, kept easy for hand calculation.</w:t>
      </w:r>
    </w:p>
    <w:p>
      <w:pPr>
        <w:keepNext/>
        <w:spacing w:after="80" w:before="200"/>
      </w:pPr>
      <w:r>
        <w:rPr>
          <w:b/>
          <w:bCs/>
          <w:color w:val="8B2E2E"/>
        </w:rPr>
        <w:t xml:space="preserve">Q: Where does the 20 in D ≈ 20N come from, and does it hold for every LLM?</w:t>
      </w:r>
    </w:p>
    <w:p>
      <w:pPr>
        <w:spacing w:after="120" w:line="300"/>
      </w:pPr>
      <w:r>
        <w:t xml:space="preserve">A: It was fitted from roughly 10 to 20 training configurations in the Chinchilla study, so it belongs to that paper. A different paper can fit a different ratio, the exponents also shift a little between studies, and each AI lab has its own data, so the ratio is not a universal constant.</w:t>
      </w:r>
    </w:p>
    <w:p>
      <w:pPr>
        <w:keepNext/>
        <w:spacing w:after="80" w:before="200"/>
      </w:pPr>
      <w:r>
        <w:rPr>
          <w:b/>
          <w:bCs/>
          <w:color w:val="8B2E2E"/>
        </w:rPr>
        <w:t xml:space="preserve">Q: Does D mean unique tokens?</w:t>
      </w:r>
    </w:p>
    <w:p>
      <w:pPr>
        <w:spacing w:after="120" w:line="300"/>
      </w:pPr>
      <w:r>
        <w:t xml:space="preserve">A: No. D is the total number of tokens in the complete training set, however often tokens repeat. For a 1-billion-parameter model that means about 20 billion tokens in total.</w:t>
      </w:r>
    </w:p>
    <w:p>
      <w:pPr>
        <w:keepNext/>
        <w:spacing w:after="80" w:before="200"/>
      </w:pPr>
      <w:r>
        <w:rPr>
          <w:b/>
          <w:bCs/>
          <w:color w:val="8B2E2E"/>
        </w:rPr>
        <w:t xml:space="preserve">Q: Who decides which weights are frozen when fine-tuning?</w:t>
      </w:r>
    </w:p>
    <w:p>
      <w:pPr>
        <w:spacing w:after="120" w:line="300"/>
      </w:pPr>
      <w:r>
        <w:t xml:space="preserve">A: You do, provided the model has open weights. You choose which layers to unfreeze and only those get updated. In practice only the last 20 to 30 percent of the layers are trained, while 60 to 70 percent stay frozen so the model keeps what it learned from its huge pre-training data. Unfreezing more layers takes longer, since more weights are updated. This is the older transfer-learning idea.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2026-10-26T16:23:03.748Z</dcterms:created>
  <dcterms:modified xsi:type="dcterms:W3CDTF">2026-10-26T16:23:03.750Z</dcterms:modified>
</cp:coreProperties>
</file>

<file path=docProps/custom.xml><?xml version="1.0" encoding="utf-8"?>
<Properties xmlns="http://schemas.openxmlformats.org/officeDocument/2006/custom-properties" xmlns:vt="http://schemas.openxmlformats.org/officeDocument/2006/docPropsVTypes"/>
</file>