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Tokenization 101</w:t>
      </w:r>
    </w:p>
    <w:p>
      <w:pPr>
        <w:spacing w:after="60"/>
      </w:pPr>
      <w:r>
        <w:rPr>
          <w:i/>
          <w:iCs/>
          <w:color w:val="555555"/>
          <w:sz w:val="26"/>
          <w:szCs w:val="26"/>
        </w:rPr>
        <w:t xml:space="preserve">Self-study notes — 30 August 2026 (Part 2)</w:t>
      </w:r>
    </w:p>
    <w:p>
      <w:pPr>
        <w:spacing w:after="400"/>
      </w:pPr>
      <w:r>
        <w:rPr>
          <w:color w:val="555555"/>
          <w:sz w:val="22"/>
          <w:szCs w:val="22"/>
        </w:rPr>
        <w:t xml:space="preserve">Byte-level BPE, WordPiece's different scoring rule, and hands-on SentencePiece.</w:t>
      </w:r>
    </w:p>
    <w:p>
      <w:pPr>
        <w:pStyle w:val="Heading1"/>
        <w:spacing w:after="160" w:before="320"/>
      </w:pPr>
      <w:r>
        <w:t xml:space="preserve">1. Byte-Level BPE: Solving Unicode's Two Real Problems</w:t>
      </w:r>
    </w:p>
    <w:p>
      <w:pPr>
        <w:spacing w:after="200" w:line="300"/>
      </w:pPr>
      <w:r>
        <w:t xml:space="preserve">Worth being precise about a distinction that's easy to blur: Unicode and UTF-8 are not the same thing. Unicode defines what a character is — a standardized identity for roughly 150,000 characters across 150+ languages. UTF-8 defines how to actually write that character down in bytes, since a computer only ever understands byte data in the end, with each byte's value ranging from 0 to 255. Unicode is the abstract character identity; UTF-8 is one concrete way of encoding it.</w:t>
      </w:r>
    </w:p>
    <w:p>
      <w:pPr>
        <w:spacing w:after="200" w:line="300"/>
      </w:pPr>
      <w:r>
        <w:t xml:space="preserve">Everything covered previously — plain BPE — was built directly on top of Unicode-level characters, and that choice creates two real, separate problems once you actually try to use it at scale.</w:t>
      </w:r>
    </w:p>
    <w:p>
      <w:pPr>
        <w:pBdr>
          <w:left w:val="single" w:color="8B2E2E" w:sz="24" w:space="8"/>
        </w:pBdr>
        <w:shd w:fill="FBEEE6" w:val="clear"/>
        <w:spacing w:after="60" w:before="160"/>
        <w:ind w:left="100"/>
      </w:pPr>
      <w:r>
        <w:rPr>
          <w:b/>
          <w:bCs/>
          <w:color w:val="8B2E2E"/>
        </w:rPr>
        <w:t xml:space="preserve">⭑ Important — the two problems byte-level BPE actually fixes</w:t>
      </w:r>
    </w:p>
    <w:p>
      <w:pPr>
        <w:pBdr>
          <w:left w:val="single" w:color="8B2E2E" w:sz="24" w:space="8"/>
        </w:pBdr>
        <w:shd w:fill="FBEEE6" w:val="clear"/>
        <w:spacing w:after="60" w:before="0"/>
        <w:ind w:left="100"/>
      </w:pPr>
      <w:r>
        <w:t xml:space="preserve">Problem 1: token ballooning against a fixed context window. Tokenizing even a short, ordinary sentence at the Unicode/character level can produce a surprisingly large number of tokens — a demonstrated example generated roughly 50 tokens from a single short sentence. Every LLM has one fixed context window it can process at once (not several — a model never gets to use "two context windows"), so if character-level tokenization inflates a passage past that window's size, whatever falls outside the window is simply lost — the model never sees it, and there's no way to recover that missing context afterward.</w:t>
      </w:r>
    </w:p>
    <w:p>
      <w:pPr>
        <w:pBdr>
          <w:left w:val="single" w:color="8B2E2E" w:sz="24" w:space="8"/>
        </w:pBdr>
        <w:shd w:fill="FBEEE6" w:val="clear"/>
        <w:spacing w:after="220" w:before="0"/>
        <w:ind w:left="100"/>
      </w:pPr>
      <w:r>
        <w:t xml:space="preserve">Problem 2: vocabulary size directly inflates the model's final layer. The Unicode character space (roughly 150,000 entries) is enormous, and a tokenizer's vocabulary size directly determines the width of the Transformer's final output layer — the one that produces logits across the entire vocabulary. A bigger vocabulary means a bigger, more computationally expensive final layer on every single forward pass, which is a real, ongoing cost, not just a one-time inconvenience.</w:t>
      </w:r>
    </w:p>
    <w:p>
      <w:pPr>
        <w:spacing w:after="200" w:line="300"/>
      </w:pPr>
      <w:r>
        <w:t xml:space="preserve">The fix is byte-level BPE (sometimes written BBPE): instead of starting the merge process from Unicode characters, start from raw bytes, each one guaranteed to fall in the fixed range 0–255. This one change to the very first step is the entire difference — every later step (count pair frequencies, merge the most frequent pair, repeat) runs exactly as before. But it solves both problems at once: the base vocabulary is now fixed at 256 possible values forever, regardless of how many languages, emoji, or symbols show up in the data, and — critically — anything at all can always be represented in bytes, even things Unicode itself hasn't gotten around to defining a dedicated character for yet. The old unknown-token fallback essentially disappears, replaced by a fallback to raw bytes that (for all practical purposes) never actually fails.</w:t>
      </w:r>
    </w:p>
    <w:p>
      <w:pPr>
        <w:spacing w:after="200" w:line="300"/>
      </w:pPr>
      <w:r>
        <w:t xml:space="preserve">This is exactly why a single character can take up more than one byte in this scheme — the same é that's one Unicode character might be represented as two separate bytes (195 and 167, for instance) once converted to UTF-8, and more visually complex symbols (flag emoji, mathematical notation) can take even more. That's expected, not a bug — the model doesn't need every token to correspond to exactly one visual character; it only needs everything to be representable at all.</w:t>
      </w:r>
    </w:p>
    <w:p>
      <w:pPr>
        <w:spacing w:after="200" w:line="300"/>
      </w:pPr>
      <w:r>
        <w:t xml:space="preserve">Historically: GPT-1 used character-level tokenization; starting with GPT-2, and continuing through every major GPT-family generation since, tokenization has been byte-level. tiktoken defaults to byte-level for exactly this reason, since it mirrors OpenAI's own models. SentencePiece, by contrast, still defaults to character-level BPE — a real, practical difference between the two libraries worth remembering when choosing one. The one trade-off worth naming honestly: byte-level tokens are less human-readable at a glance than character-level ones (more raw numbers, less obviously mapping to visible characters) — but reliability wins comfortably over readability here, since a tokenizer that never fails matters more than one that's easier to eyeball.</w:t>
      </w:r>
    </w:p>
    <w:p>
      <w:pPr>
        <w:pStyle w:val="Heading1"/>
        <w:spacing w:after="160" w:before="320"/>
      </w:pPr>
      <w:r>
        <w:t xml:space="preserve">2. WordPiece: A Different Scoring Rule on the Same Merge Loop</w:t>
      </w:r>
    </w:p>
    <w:p>
      <w:pPr>
        <w:spacing w:after="200" w:line="300"/>
      </w:pPr>
      <w:r>
        <w:t xml:space="preserve">WordPiece — historically the tokenizer behind Google's BERT-family encoder architectures (BERT, ALBERT, Electra, DistilBERT; notably not RoBERTa, which uses BPE despite the BERT-style architecture, and not T5, which uses SentencePiece) — follows the exact same overall shape as BPE: start from individual characters, repeatedly merge pairs, build up a vocabulary. The one genuine difference is what determines which pair gets merged next.</w:t>
      </w:r>
    </w:p>
    <w:p>
      <w:pPr>
        <w:pBdr>
          <w:left w:val="single" w:color="8B2E2E" w:sz="24" w:space="8"/>
        </w:pBdr>
        <w:shd w:fill="FBEEE6" w:val="clear"/>
        <w:spacing w:after="60" w:before="160"/>
        <w:ind w:left="100"/>
      </w:pPr>
      <w:r>
        <w:rPr>
          <w:b/>
          <w:bCs/>
          <w:color w:val="8B2E2E"/>
        </w:rPr>
        <w:t xml:space="preserve">⭑ Important — the likelihood-score formula</w:t>
      </w:r>
    </w:p>
    <w:p>
      <w:pPr>
        <w:pBdr>
          <w:left w:val="single" w:color="8B2E2E" w:sz="24" w:space="8"/>
        </w:pBdr>
        <w:shd w:fill="FBEEE6" w:val="clear"/>
        <w:spacing w:after="60" w:before="0"/>
        <w:ind w:left="100"/>
      </w:pPr>
      <w:r>
        <w:t xml:space="preserve">Where plain BPE always merges whichever pair is simply the most frequent, WordPiece instead computes a likelihood score for each candidate pair: score = frequency(pair) ÷ (frequency(first token) × frequency(second token)). Worked through a small "the cat sat on the mat" example in class: for a candidate pair like O+N, if that pair appears once and both O and N individually appear once each elsewhere, the score comes out to 1 ÷ (1 × 1) = 1.0 — the maximum possible value for that setup, and the winner of that particular merge round.</w:t>
      </w:r>
    </w:p>
    <w:p>
      <w:pPr>
        <w:pBdr>
          <w:left w:val="single" w:color="8B2E2E" w:sz="24" w:space="8"/>
        </w:pBdr>
        <w:shd w:fill="FBEEE6" w:val="clear"/>
        <w:spacing w:after="220" w:before="0"/>
        <w:ind w:left="100"/>
      </w:pPr>
      <w:r>
        <w:t xml:space="preserve">The intuitive effect (loosely comparable to TF-IDF, though not identical to it): a pair scores highly not just for being common in absolute terms, but for co-occurring more often than you'd expect given how common its two individual pieces are elsewhere. Two moderately common characters that overwhelmingly show up next to each other score better than two extremely common characters that happen to sit next to each other only because they're common everywhere. Beyond that scoring difference, the rest of the loop is identical to BPE: update the vocabulary with the winning merge, recompute all the scores, repeat.</w:t>
      </w:r>
    </w:p>
    <w:p>
      <w:pPr>
        <w:spacing w:after="200" w:line="300"/>
      </w:pPr>
      <w:r>
        <w:t xml:space="preserve">As of 2026, the field has moved decisively away from WordPiece — even active research now generally recommends converting older WordPiece-based tokenizers over to BPE. WordPiece doesn't meaningfully solve the strawberry problem from the previous session either; it's a genuinely different scoring rule on the same fundamental subword strategy, not a fix for BPE's core limitation.</w:t>
      </w:r>
    </w:p>
    <w:p>
      <w:pPr>
        <w:pStyle w:val="Heading1"/>
        <w:spacing w:after="160" w:before="320"/>
      </w:pPr>
      <w:r>
        <w:t xml:space="preserve">3. SentencePiece: The Google Library, Hands-On</w:t>
      </w:r>
    </w:p>
    <w:p>
      <w:pPr>
        <w:spacing w:after="200" w:line="300"/>
      </w:pPr>
      <w:r>
        <w:t xml:space="preserve">SentencePiece is not an algorithm — it's a library (from Google) that implements four different tokenization schemes internally: character-level, word-level, BPE, and a Unigram Language Model (its default). It's historically tied to Google's long history in sequence-to-sequence machine translation (the lineage runs from early LSTM-based translation through to modern encoder-decoder systems), which is exactly why models like T5 use it rather than plain BPE or WordPiece.</w:t>
      </w:r>
    </w:p>
    <w:p>
      <w:pPr>
        <w:spacing w:after="200" w:line="300"/>
      </w:pPr>
      <w:r>
        <w:t xml:space="preserve">One practical distinction worth locking in: SentencePiece's BPE implementation works at the character level, not the byte level — meaning it doesn't carry the same unknown-token guarantees byte-level BPE (Section 1) provides. The rule of thumb from class: if you're working with GPT-family models, use tiktoken; if you're working with Google-family models (T5, and similar), SentencePiece is the natural fit. SentencePiece also handles whitespace by turning it into a visible symbol in its output (commonly a distinct underscore-like glyph, sometimes a capital "G"-style marker) — there's no fully standardized convention across tokenizers for this, so expect it to vary.</w:t>
      </w:r>
    </w:p>
    <w:p>
      <w:pPr>
        <w:pBdr>
          <w:left w:val="single" w:color="8B2E2E" w:sz="24" w:space="8"/>
        </w:pBdr>
        <w:shd w:fill="FBEEE6" w:val="clear"/>
        <w:spacing w:after="60" w:before="160"/>
        <w:ind w:left="100"/>
      </w:pPr>
      <w:r>
        <w:rPr>
          <w:b/>
          <w:bCs/>
          <w:color w:val="8B2E2E"/>
        </w:rPr>
        <w:t xml:space="preserve">⭑ Important — the Unigram Language Model's genuinely different capability: sampling</w:t>
      </w:r>
    </w:p>
    <w:p>
      <w:pPr>
        <w:pBdr>
          <w:left w:val="single" w:color="8B2E2E" w:sz="24" w:space="8"/>
        </w:pBdr>
        <w:shd w:fill="FBEEE6" w:val="clear"/>
        <w:spacing w:after="60" w:before="0"/>
        <w:ind w:left="100"/>
      </w:pPr>
      <w:r>
        <w:t xml:space="preserve">The Unigram model (SentencePiece's default, and an older, pre-BERT-era probabilistic approach) can do something BPE fundamentally cannot: produce multiple different valid segmentations of the same word and sample among them, rather than always returning one deterministic answer. Demonstrated live on the word "telescope" with sampling enabled — five separate calls produced several genuinely different valid subword splits of the same word, controlled by an alpha parameter governing how much variation to allow.</w:t>
      </w:r>
    </w:p>
    <w:p>
      <w:pPr>
        <w:pBdr>
          <w:left w:val="single" w:color="8B2E2E" w:sz="24" w:space="8"/>
        </w:pBdr>
        <w:shd w:fill="FBEEE6" w:val="clear"/>
        <w:spacing w:after="220" w:before="0"/>
        <w:ind w:left="100"/>
      </w:pPr>
      <w:r>
        <w:t xml:space="preserve">This is impossible in plain BPE by design: BPE's merges are fixed once frequency (and tie-breaking, where needed) is decided, so tokenizing the same word twice always gives the same result. Unigram's sampling capability is specifically what enables subword regularization (from a 2018 paper by Kudo) — deliberately introducing controlled variation into tokenization during training so the model doesn't overfit to one single, rigid way of splitting each word. It's conceptually in the same family as dropout, L1, or L2 regularization: not required for a system to function, but a worthwhile addition once the core pipeline is already working, aimed purely at improving generalization.</w:t>
      </w:r>
    </w:p>
    <w:p>
      <w:pPr>
        <w:spacing w:after="200" w:line="300"/>
      </w:pPr>
      <w:r>
        <w:t xml:space="preserve">Vocabulary size in SentencePiece is a plain, tunable hyperparameter — and its effect is directly observable: a smaller vocabulary (a live demo used 300) forces more words to stay broken into small fragments, since there isn't room in the vocabulary for many complete words to survive as single tokens; a larger vocabulary (1,000, then 4,000) lets progressively more whole words survive intact, which is exactly why fewer merges are needed at a larger target size. There's also a hard ceiling worth knowing about: vocabulary size is constrained by how much text is actually in the training corpus — pushing the target vocabulary size too high relative to a small corpus produces an outright error, not just a warning, since the library can't extract more meaningfully distinct pieces than the data actually contains. In practice, teams tend to start small (2K–4K) and increase experimentally from there — there's no formula, only testing, and the field-wide trend (OpenAI's own vocabulary growth included) has been to keep pushing this number upward over time.</w:t>
      </w:r>
    </w:p>
    <w:p>
      <w:pPr>
        <w:spacing w:after="200" w:line="300"/>
      </w:pPr>
      <w:r>
        <w:t xml:space="preserve">One useful, concrete way to sanity-check a trained tokenizer without needing a full model: compression ratio — roughly, original text size divided by tokenized size. A ratio comfortably above 1 is a good sign (BPE is, after all, originally a compression algorithm); a ratio at or below 1 suggests the tokenizer isn't doing its job well. This is a real, useful signal, but it's still just one signal — tokenizer quality is only one input among many into how good the resulting language model ends up being, and there's no single universal benchmark that isolates "tokenizer quality" cleanly on its own (more in the Q&amp;A below).</w:t>
      </w:r>
    </w:p>
    <w:p>
      <w:pPr>
        <w:pStyle w:val="Heading1"/>
        <w:spacing w:after="160" w:before="320"/>
      </w:pPr>
      <w:r>
        <w:t xml:space="preserve">4. Closing Notes / What's Next</w:t>
      </w:r>
    </w:p>
    <w:p>
      <w:pPr>
        <w:spacing w:after="200" w:line="300"/>
      </w:pPr>
      <w:r>
        <w:t xml:space="preserve">This closes out the algorithm-and-tooling survey: BPE (character-level and byte-level), WordPiece, and SentencePiece have all now been covered, along with the practical tools (tiktoken and Hugging Face's tokenizers library from the previous session, plus SentencePiece here) used to work with each. Character-level and word-level tokenization on their own weren't covered in further depth, since they don't carry the same practical relevance BPE, WordPiece, and SentencePiece do.</w:t>
      </w:r>
    </w:p>
    <w:p>
      <w:pPr>
        <w:spacing w:after="200" w:line="300"/>
      </w:pPr>
      <w:r>
        <w:t xml:space="preserve">Next session moves to building an actual production-style tokenizer from a real, domain-specific dataset (healthcare data was mentioned as the likely example) and uploading the result to Hugging Face — training itself is expected to take several hours and run on CPU (a compute-optimized cloud instance was suggested for anyone without a strong multi-core local machine), since tokenizer training needs cores, not GPU. A closing reminder carried over from the prior session, restated with a sharper technical reason attached: a pretrained model's tokenizer cannot be swapped out after the fact, because the model's final output layer was built to match one exact vocabulary size — substituting a different tokenizer would misalign that layer entirely, not just produce lower-quality results.</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Unicode</w:t>
            </w:r>
          </w:p>
        </w:tc>
        <w:tc>
          <w:tcPr>
            <w:tcW w:type="dxa" w:w="5800"/>
            <w:tcMar>
              <w:top w:type="dxa" w:w="60"/>
              <w:left w:type="dxa" w:w="100"/>
              <w:bottom w:type="dxa" w:w="60"/>
              <w:right w:type="dxa" w:w="100"/>
            </w:tcMar>
          </w:tcPr>
          <w:p>
            <w:r>
              <w:t xml:space="preserve">The standard defining what a character is — an identity, not a byte encoding; covers 150+ languages and ~150,000 characters.</w:t>
            </w:r>
          </w:p>
        </w:tc>
      </w:tr>
      <w:tr>
        <w:tc>
          <w:tcPr>
            <w:tcW w:type="dxa" w:w="3200"/>
            <w:tcMar>
              <w:top w:type="dxa" w:w="60"/>
              <w:left w:type="dxa" w:w="100"/>
              <w:bottom w:type="dxa" w:w="60"/>
              <w:right w:type="dxa" w:w="100"/>
            </w:tcMar>
          </w:tcPr>
          <w:p>
            <w:r>
              <w:t xml:space="preserve">UTF-8</w:t>
            </w:r>
          </w:p>
        </w:tc>
        <w:tc>
          <w:tcPr>
            <w:tcW w:type="dxa" w:w="5800"/>
            <w:tcMar>
              <w:top w:type="dxa" w:w="60"/>
              <w:left w:type="dxa" w:w="100"/>
              <w:bottom w:type="dxa" w:w="60"/>
              <w:right w:type="dxa" w:w="100"/>
            </w:tcMar>
          </w:tcPr>
          <w:p>
            <w:r>
              <w:t xml:space="preserve">A concrete encoding defining how to write a Unicode character as bytes (each byte ranging 0–255).</w:t>
            </w:r>
          </w:p>
        </w:tc>
      </w:tr>
      <w:tr>
        <w:tc>
          <w:tcPr>
            <w:tcW w:type="dxa" w:w="3200"/>
            <w:tcMar>
              <w:top w:type="dxa" w:w="60"/>
              <w:left w:type="dxa" w:w="100"/>
              <w:bottom w:type="dxa" w:w="60"/>
              <w:right w:type="dxa" w:w="100"/>
            </w:tcMar>
          </w:tcPr>
          <w:p>
            <w:r>
              <w:t xml:space="preserve">Byte-level BPE (BBPE)</w:t>
            </w:r>
          </w:p>
        </w:tc>
        <w:tc>
          <w:tcPr>
            <w:tcW w:type="dxa" w:w="5800"/>
            <w:tcMar>
              <w:top w:type="dxa" w:w="60"/>
              <w:left w:type="dxa" w:w="100"/>
              <w:bottom w:type="dxa" w:w="60"/>
              <w:right w:type="dxa" w:w="100"/>
            </w:tcMar>
          </w:tcPr>
          <w:p>
            <w:r>
              <w:t xml:space="preserve">BPE run starting from raw bytes instead of Unicode characters; fixes both vocabulary-size and unknown-token problems.</w:t>
            </w:r>
          </w:p>
        </w:tc>
      </w:tr>
      <w:tr>
        <w:tc>
          <w:tcPr>
            <w:tcW w:type="dxa" w:w="3200"/>
            <w:tcMar>
              <w:top w:type="dxa" w:w="60"/>
              <w:left w:type="dxa" w:w="100"/>
              <w:bottom w:type="dxa" w:w="60"/>
              <w:right w:type="dxa" w:w="100"/>
            </w:tcMar>
          </w:tcPr>
          <w:p>
            <w:r>
              <w:t xml:space="preserve">Ballooning effect</w:t>
            </w:r>
          </w:p>
        </w:tc>
        <w:tc>
          <w:tcPr>
            <w:tcW w:type="dxa" w:w="5800"/>
            <w:tcMar>
              <w:top w:type="dxa" w:w="60"/>
              <w:left w:type="dxa" w:w="100"/>
              <w:bottom w:type="dxa" w:w="60"/>
              <w:right w:type="dxa" w:w="100"/>
            </w:tcMar>
          </w:tcPr>
          <w:p>
            <w:r>
              <w:t xml:space="preserve">Character-level tokenization producing far more tokens than expected for a short passage, risking context-window overflow.</w:t>
            </w:r>
          </w:p>
        </w:tc>
      </w:tr>
      <w:tr>
        <w:tc>
          <w:tcPr>
            <w:tcW w:type="dxa" w:w="3200"/>
            <w:tcMar>
              <w:top w:type="dxa" w:w="60"/>
              <w:left w:type="dxa" w:w="100"/>
              <w:bottom w:type="dxa" w:w="60"/>
              <w:right w:type="dxa" w:w="100"/>
            </w:tcMar>
          </w:tcPr>
          <w:p>
            <w:r>
              <w:t xml:space="preserve">Context window</w:t>
            </w:r>
          </w:p>
        </w:tc>
        <w:tc>
          <w:tcPr>
            <w:tcW w:type="dxa" w:w="5800"/>
            <w:tcMar>
              <w:top w:type="dxa" w:w="60"/>
              <w:left w:type="dxa" w:w="100"/>
              <w:bottom w:type="dxa" w:w="60"/>
              <w:right w:type="dxa" w:w="100"/>
            </w:tcMar>
          </w:tcPr>
          <w:p>
            <w:r>
              <w:t xml:space="preserve">The single, fixed span of tokens a model can process at once; content beyond it is lost, not remembered elsewhere.</w:t>
            </w:r>
          </w:p>
        </w:tc>
      </w:tr>
      <w:tr>
        <w:tc>
          <w:tcPr>
            <w:tcW w:type="dxa" w:w="3200"/>
            <w:tcMar>
              <w:top w:type="dxa" w:w="60"/>
              <w:left w:type="dxa" w:w="100"/>
              <w:bottom w:type="dxa" w:w="60"/>
              <w:right w:type="dxa" w:w="100"/>
            </w:tcMar>
          </w:tcPr>
          <w:p>
            <w:r>
              <w:t xml:space="preserve">WordPiece</w:t>
            </w:r>
          </w:p>
        </w:tc>
        <w:tc>
          <w:tcPr>
            <w:tcW w:type="dxa" w:w="5800"/>
            <w:tcMar>
              <w:top w:type="dxa" w:w="60"/>
              <w:left w:type="dxa" w:w="100"/>
              <w:bottom w:type="dxa" w:w="60"/>
              <w:right w:type="dxa" w:w="100"/>
            </w:tcMar>
          </w:tcPr>
          <w:p>
            <w:r>
              <w:t xml:space="preserve">A BPE-like algorithm using a likelihood score — frequency(pair) ÷ (frequency(first) × frequency(second)) — instead of raw frequency, to pick merges.</w:t>
            </w:r>
          </w:p>
        </w:tc>
      </w:tr>
      <w:tr>
        <w:tc>
          <w:tcPr>
            <w:tcW w:type="dxa" w:w="3200"/>
            <w:tcMar>
              <w:top w:type="dxa" w:w="60"/>
              <w:left w:type="dxa" w:w="100"/>
              <w:bottom w:type="dxa" w:w="60"/>
              <w:right w:type="dxa" w:w="100"/>
            </w:tcMar>
          </w:tcPr>
          <w:p>
            <w:r>
              <w:t xml:space="preserve">SentencePiece</w:t>
            </w:r>
          </w:p>
        </w:tc>
        <w:tc>
          <w:tcPr>
            <w:tcW w:type="dxa" w:w="5800"/>
            <w:tcMar>
              <w:top w:type="dxa" w:w="60"/>
              <w:left w:type="dxa" w:w="100"/>
              <w:bottom w:type="dxa" w:w="60"/>
              <w:right w:type="dxa" w:w="100"/>
            </w:tcMar>
          </w:tcPr>
          <w:p>
            <w:r>
              <w:t xml:space="preserve">A library (not an algorithm) from Google supporting character, word, BPE, and Unigram tokenization; character-level BPE, not byte-level.</w:t>
            </w:r>
          </w:p>
        </w:tc>
      </w:tr>
      <w:tr>
        <w:tc>
          <w:tcPr>
            <w:tcW w:type="dxa" w:w="3200"/>
            <w:tcMar>
              <w:top w:type="dxa" w:w="60"/>
              <w:left w:type="dxa" w:w="100"/>
              <w:bottom w:type="dxa" w:w="60"/>
              <w:right w:type="dxa" w:w="100"/>
            </w:tcMar>
          </w:tcPr>
          <w:p>
            <w:r>
              <w:t xml:space="preserve">Unigram Language Model</w:t>
            </w:r>
          </w:p>
        </w:tc>
        <w:tc>
          <w:tcPr>
            <w:tcW w:type="dxa" w:w="5800"/>
            <w:tcMar>
              <w:top w:type="dxa" w:w="60"/>
              <w:left w:type="dxa" w:w="100"/>
              <w:bottom w:type="dxa" w:w="60"/>
              <w:right w:type="dxa" w:w="100"/>
            </w:tcMar>
          </w:tcPr>
          <w:p>
            <w:r>
              <w:t xml:space="preserve">SentencePiece's default, older probabilistic scheme; unlike BPE, can sample multiple valid segmentations of the same word.</w:t>
            </w:r>
          </w:p>
        </w:tc>
      </w:tr>
      <w:tr>
        <w:tc>
          <w:tcPr>
            <w:tcW w:type="dxa" w:w="3200"/>
            <w:tcMar>
              <w:top w:type="dxa" w:w="60"/>
              <w:left w:type="dxa" w:w="100"/>
              <w:bottom w:type="dxa" w:w="60"/>
              <w:right w:type="dxa" w:w="100"/>
            </w:tcMar>
          </w:tcPr>
          <w:p>
            <w:r>
              <w:t xml:space="preserve">Subword regularization</w:t>
            </w:r>
          </w:p>
        </w:tc>
        <w:tc>
          <w:tcPr>
            <w:tcW w:type="dxa" w:w="5800"/>
            <w:tcMar>
              <w:top w:type="dxa" w:w="60"/>
              <w:left w:type="dxa" w:w="100"/>
              <w:bottom w:type="dxa" w:w="60"/>
              <w:right w:type="dxa" w:w="100"/>
            </w:tcMar>
          </w:tcPr>
          <w:p>
            <w:r>
              <w:t xml:space="preserve">A 2018 (Kudo) technique using Unigram's sampling to vary tokenization during training, improving generalization — conceptually like dropout.</w:t>
            </w:r>
          </w:p>
        </w:tc>
      </w:tr>
      <w:tr>
        <w:tc>
          <w:tcPr>
            <w:tcW w:type="dxa" w:w="3200"/>
            <w:tcMar>
              <w:top w:type="dxa" w:w="60"/>
              <w:left w:type="dxa" w:w="100"/>
              <w:bottom w:type="dxa" w:w="60"/>
              <w:right w:type="dxa" w:w="100"/>
            </w:tcMar>
          </w:tcPr>
          <w:p>
            <w:r>
              <w:t xml:space="preserve">Compression ratio</w:t>
            </w:r>
          </w:p>
        </w:tc>
        <w:tc>
          <w:tcPr>
            <w:tcW w:type="dxa" w:w="5800"/>
            <w:tcMar>
              <w:top w:type="dxa" w:w="60"/>
              <w:left w:type="dxa" w:w="100"/>
              <w:bottom w:type="dxa" w:w="60"/>
              <w:right w:type="dxa" w:w="100"/>
            </w:tcMar>
          </w:tcPr>
          <w:p>
            <w:r>
              <w:t xml:space="preserve">Original text size ÷ tokenized size; a quick tokenizer sanity check — comfortably above 1 is a good sign.</w:t>
            </w:r>
          </w:p>
        </w:tc>
      </w:tr>
      <w:tr>
        <w:tc>
          <w:tcPr>
            <w:tcW w:type="dxa" w:w="3200"/>
            <w:tcMar>
              <w:top w:type="dxa" w:w="60"/>
              <w:left w:type="dxa" w:w="100"/>
              <w:bottom w:type="dxa" w:w="60"/>
              <w:right w:type="dxa" w:w="100"/>
            </w:tcMar>
          </w:tcPr>
          <w:p>
            <w:r>
              <w:t xml:space="preserve">Vocabulary size (as hyperparameter)</w:t>
            </w:r>
          </w:p>
        </w:tc>
        <w:tc>
          <w:tcPr>
            <w:tcW w:type="dxa" w:w="5800"/>
            <w:tcMar>
              <w:top w:type="dxa" w:w="60"/>
              <w:left w:type="dxa" w:w="100"/>
              <w:bottom w:type="dxa" w:w="60"/>
              <w:right w:type="dxa" w:w="100"/>
            </w:tcMar>
          </w:tcPr>
          <w:p>
            <w:r>
              <w:t xml:space="preserve">Smaller vocab forces more merges/more broken tokens; larger vocab lets more whole words survive; capped by corpus size.</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For byte-level fallback, is the byte representation for something like an emoji fixed, or does it vary at runtime?</w:t>
      </w:r>
    </w:p>
    <w:p>
      <w:pPr>
        <w:spacing w:after="120" w:line="300"/>
      </w:pPr>
      <w:r>
        <w:t xml:space="preserve">A: It's fixed — the byte representation of any character is a deterministic property of the UTF-8 encoding itself, not something that changes based on context or runtime conditions. The same emoji or symbol always maps to the same sequence of bytes; there's no variability to account for. This is exactly why the byte-level fallback is reliable: since the mapping never changes, anything representable in UTF-8 can always be decoded back correctly later, without ambiguity.</w:t>
      </w:r>
    </w:p>
    <w:p>
      <w:pPr>
        <w:spacing w:after="80" w:before="200"/>
      </w:pPr>
      <w:r>
        <w:rPr>
          <w:b/>
          <w:bCs/>
          <w:color w:val="8B2E2E"/>
        </w:rPr>
        <w:t xml:space="preserve">Q: How do you actually measure whether a trained tokenizer is good — is there a standard benchmark to check it against?</w:t>
      </w:r>
    </w:p>
    <w:p>
      <w:pPr>
        <w:spacing w:after="120" w:line="300"/>
      </w:pPr>
      <w:r>
        <w:t xml:space="preserve">A: There's no single universal benchmark, because a tokenizer is fundamentally built around one specific dataset, and there's no guarantee it generalizes to a different one. The practical approach: build your own evaluation set from your own data, track things like the unknown-token rate directly, and use compression ratio (Section 3) as a quick sanity check — comfortably above 1 is favorable. If you want a comparison against something else, the fair way is to tokenize the same external dataset with two different schemes and compare the results directly, rather than expecting one fixed benchmark score to settle it. It's also worth being precise about scope: tokenizer quality is only one input into overall language-model quality, not something that can be isolated and benchmarked entirely on its own — claiming you can fully evaluate a language model based on its tokenizer alone isn't accurate.</w:t>
      </w:r>
    </w:p>
    <w:p>
      <w:pPr>
        <w:spacing w:after="80" w:before="200"/>
      </w:pPr>
      <w:r>
        <w:rPr>
          <w:b/>
          <w:bCs/>
          <w:color w:val="8B2E2E"/>
        </w:rPr>
        <w:t xml:space="preserve">Q: What actually happens if you set a tokenizer's target vocabulary size too high relative to how much text is in the training corpus?</w:t>
      </w:r>
    </w:p>
    <w:p>
      <w:pPr>
        <w:spacing w:after="120" w:line="300"/>
      </w:pPr>
      <w:r>
        <w:t xml:space="preserve">A: It fails outright with an error, rather than just producing a lower-quality result — a live demo hit exactly this when pushing the vocabulary size well past what a small corpus could support. The underlying reason is straightforward: a tokenizer can only extract as many genuinely distinct subword pieces as the training text actually contains, so asking for a vocabulary larger than the corpus can realistically populate isn't just a bad choice, it's not satisfiable at all with that data. The fix is either to raise the corpus size or lower the vocabulary target — there's no way to reconcile a large target vocabulary with too little training text.</w:t>
      </w:r>
    </w:p>
    <w:p>
      <w:pPr>
        <w:spacing w:after="80" w:before="200"/>
      </w:pPr>
      <w:r>
        <w:rPr>
          <w:b/>
          <w:bCs/>
          <w:color w:val="8B2E2E"/>
        </w:rPr>
        <w:t xml:space="preserve">Q: If a large vocabulary size directly affects the model's final logits layer, does that connect to why you can't swap in a custom tokenizer for an already-pretrained model?</w:t>
      </w:r>
    </w:p>
    <w:p>
      <w:pPr>
        <w:spacing w:after="120" w:line="300"/>
      </w:pPr>
      <w:r>
        <w:t xml:space="preserve">A: Yes, directly. A pretrained model's final output layer is built with a fixed width matching its original tokenizer's exact vocabulary size — every logit position corresponds to one specific vocabulary entry the model was actually trained against. Swapping in a different tokenizer changes the vocabulary size and the meaning of every token ID, which would leave that final layer structurally mismatched with the new tokenizer's output — not just less accurate, but architecturally incompatible. This is exactly why a pretrained model always ships together with its own tokenizer configuration as one inseparable package, and why building a custom tokenizer only makes sense when you're training a model from scratch yourself.</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2026-09-01T16:13:15.270Z</dcterms:created>
  <dcterms:modified xsi:type="dcterms:W3CDTF">2026-09-01T16:13:15.281Z</dcterms:modified>
</cp:coreProperties>
</file>

<file path=docProps/custom.xml><?xml version="1.0" encoding="utf-8"?>
<Properties xmlns="http://schemas.openxmlformats.org/officeDocument/2006/custom-properties" xmlns:vt="http://schemas.openxmlformats.org/officeDocument/2006/docPropsVTypes"/>
</file>