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6"/>
        </w:rPr>
        <w:t>Kristianstad University</w:t>
      </w:r>
    </w:p>
    <w:p>
      <w:pPr>
        <w:jc w:val="center"/>
      </w:pPr>
      <w:r>
        <w:rPr>
          <w:b w:val="0"/>
          <w:i w:val="0"/>
          <w:sz w:val="26"/>
        </w:rPr>
        <w:t>Department of Computer Science</w:t>
      </w:r>
    </w:p>
    <w:p/>
    <w:p/>
    <w:p>
      <w:pPr>
        <w:jc w:val="center"/>
      </w:pPr>
      <w:r>
        <w:rPr>
          <w:b/>
          <w:sz w:val="40"/>
        </w:rPr>
        <w:t>A Three-Tier Hybrid Validation Architecture for Standardised</w:t>
        <w:br/>
        <w:t>Industrial Label Templates:</w:t>
        <w:br/>
        <w:t>Combining Rule-Based Pre-Render Checks, Reference Image Comparison,</w:t>
        <w:br/>
        <w:t>and Deep Learning Classification</w:t>
      </w:r>
    </w:p>
    <w:p/>
    <w:p/>
    <w:p>
      <w:pPr>
        <w:jc w:val="center"/>
      </w:pPr>
      <w:r>
        <w:rPr>
          <w:b w:val="0"/>
          <w:i w:val="0"/>
          <w:sz w:val="26"/>
        </w:rPr>
        <w:t>Bachelor Thesis in Computer Science — 15 Credits</w:t>
      </w:r>
    </w:p>
    <w:p/>
    <w:p/>
    <w:tbl>
      <w:tblPr>
        <w:tblStyle w:val="TableGrid"/>
        <w:tblW w:type="auto" w:w="0"/>
        <w:tblLook w:firstColumn="1" w:firstRow="1" w:lastColumn="0" w:lastRow="0" w:noHBand="0" w:noVBand="1" w:val="04A0"/>
      </w:tblPr>
      <w:tblGrid>
        <w:gridCol w:w="4561"/>
        <w:gridCol w:w="4561"/>
      </w:tblGrid>
      <w:tr>
        <w:tc>
          <w:tcPr>
            <w:tcW w:type="dxa" w:w="4561"/>
          </w:tcPr>
          <w:p>
            <w:r>
              <w:rPr>
                <w:b/>
              </w:rPr>
              <w:t>Authors:</w:t>
            </w:r>
          </w:p>
        </w:tc>
        <w:tc>
          <w:tcPr>
            <w:tcW w:type="dxa" w:w="4561"/>
          </w:tcPr>
          <w:p>
            <w:r>
              <w:t>Ghanasham Saravaiahgari</w:t>
            </w:r>
          </w:p>
        </w:tc>
      </w:tr>
      <w:tr>
        <w:tc>
          <w:tcPr>
            <w:tcW w:type="dxa" w:w="4561"/>
          </w:tcPr>
          <w:p>
            <w:r/>
          </w:p>
        </w:tc>
        <w:tc>
          <w:tcPr>
            <w:tcW w:type="dxa" w:w="4561"/>
          </w:tcPr>
          <w:p>
            <w:r>
              <w:t>Ghazal Chamto</w:t>
            </w:r>
          </w:p>
        </w:tc>
      </w:tr>
      <w:tr>
        <w:tc>
          <w:tcPr>
            <w:tcW w:type="dxa" w:w="4561"/>
          </w:tcPr>
          <w:p>
            <w:r>
              <w:rPr>
                <w:b/>
              </w:rPr>
              <w:t>Supervisor:</w:t>
            </w:r>
          </w:p>
        </w:tc>
        <w:tc>
          <w:tcPr>
            <w:tcW w:type="dxa" w:w="4561"/>
          </w:tcPr>
          <w:p>
            <w:r>
              <w:t>[Supervisor Name], Kristianstad University</w:t>
            </w:r>
          </w:p>
        </w:tc>
      </w:tr>
      <w:tr>
        <w:tc>
          <w:tcPr>
            <w:tcW w:type="dxa" w:w="4561"/>
          </w:tcPr>
          <w:p>
            <w:r>
              <w:rPr>
                <w:b/>
              </w:rPr>
              <w:t>Examiner:</w:t>
            </w:r>
          </w:p>
        </w:tc>
        <w:tc>
          <w:tcPr>
            <w:tcW w:type="dxa" w:w="4561"/>
          </w:tcPr>
          <w:p>
            <w:r>
              <w:t>[Examiner Name], Kristianstad University</w:t>
            </w:r>
          </w:p>
        </w:tc>
      </w:tr>
      <w:tr>
        <w:tc>
          <w:tcPr>
            <w:tcW w:type="dxa" w:w="4561"/>
          </w:tcPr>
          <w:p>
            <w:r>
              <w:rPr>
                <w:b/>
              </w:rPr>
              <w:t>Partner:</w:t>
            </w:r>
          </w:p>
        </w:tc>
        <w:tc>
          <w:tcPr>
            <w:tcW w:type="dxa" w:w="4561"/>
          </w:tcPr>
          <w:p>
            <w:r>
              <w:t>IKEA of Sweden AB</w:t>
            </w:r>
          </w:p>
        </w:tc>
      </w:tr>
      <w:tr>
        <w:tc>
          <w:tcPr>
            <w:tcW w:type="dxa" w:w="4561"/>
          </w:tcPr>
          <w:p>
            <w:r>
              <w:rPr>
                <w:b/>
              </w:rPr>
              <w:t>Programme:</w:t>
            </w:r>
          </w:p>
        </w:tc>
        <w:tc>
          <w:tcPr>
            <w:tcW w:type="dxa" w:w="4561"/>
          </w:tcPr>
          <w:p>
            <w:r>
              <w:t>Bachelor in Software Technology</w:t>
            </w:r>
          </w:p>
        </w:tc>
      </w:tr>
      <w:tr>
        <w:tc>
          <w:tcPr>
            <w:tcW w:type="dxa" w:w="4561"/>
          </w:tcPr>
          <w:p>
            <w:r>
              <w:rPr>
                <w:b/>
              </w:rPr>
              <w:t>Term:</w:t>
            </w:r>
          </w:p>
        </w:tc>
        <w:tc>
          <w:tcPr>
            <w:tcW w:type="dxa" w:w="4561"/>
          </w:tcPr>
          <w:p>
            <w:r>
              <w:t>Spring 2026</w:t>
            </w:r>
          </w:p>
        </w:tc>
      </w:tr>
    </w:tbl>
    <w:p/>
    <w:p>
      <w:pPr>
        <w:jc w:val="center"/>
      </w:pPr>
      <w:r>
        <w:rPr>
          <w:b w:val="0"/>
          <w:i w:val="0"/>
          <w:sz w:val="20"/>
        </w:rPr>
        <w:t>This thesis is submitted in partial fulfilment of the requirements for the degree of Bachelor of Science in Computer Science at Kristianstad University, Kristianstad, Sweden.</w:t>
      </w:r>
    </w:p>
    <w:p>
      <w:r>
        <w:br w:type="page"/>
      </w:r>
    </w:p>
    <w:p>
      <w:pPr>
        <w:pStyle w:val="Heading1"/>
      </w:pPr>
      <w:r>
        <w:t>Abstract</w:t>
      </w:r>
    </w:p>
    <w:p>
      <w:pPr>
        <w:jc w:val="both"/>
      </w:pPr>
      <w:r>
        <w:rPr>
          <w:b w:val="0"/>
          <w:i w:val="0"/>
          <w:sz w:val="22"/>
        </w:rPr>
        <w:t>Standardised product label templates are the backbone of IKEA of Sweden's global supply-chain compliance. Every generated label must conform exactly to an approved baseline design covering element positioning, font sizing, barcode quiet zones, content fields, and colour specifications. Currently, a trained human QA tester inspects each label manually — a process taking 8 to 12 minutes per label that cannot scale with product range growth.</w:t>
      </w:r>
    </w:p>
    <w:p>
      <w:pPr>
        <w:jc w:val="both"/>
      </w:pPr>
      <w:r>
        <w:rPr>
          <w:b w:val="0"/>
          <w:i w:val="0"/>
          <w:sz w:val="22"/>
        </w:rPr>
        <w:t>This paper presents the design rationale, architecture, and experimental evaluation of a purpose-built three-tier hybrid validation system. The central design insight is that label violations fall into three fundamentally different categories — content errors detectable from raw metadata, structural deviations detectable by classical image comparison, and subtle layout violations detectable only by learned visual representations — and that no single validation technique addresses all three. The system is therefore built as an ordered pipeline of complementary components: a rule-based metadata checker, a rendering engine via the NiceLabel .NET SDK, and a four-method visual validation ensemble combining SSIM reference comparison, ORB feature matching, a fine-tuned ResNet-50 binary classifier, and a Siamese neural network trained with contrastive loss.</w:t>
      </w:r>
    </w:p>
    <w:p>
      <w:pPr>
        <w:jc w:val="both"/>
      </w:pPr>
      <w:r>
        <w:rPr>
          <w:b w:val="0"/>
          <w:i w:val="0"/>
          <w:sz w:val="22"/>
        </w:rPr>
        <w:t>The architecture is driven by concrete constraints of the IKEA production environment: the proprietary .nlbl file format necessitates SDK-based rendering; the absence of archived invalid labels shapes the training strategy; and the need for operator-readable error reports requires spatial localisation of every detected violation. Each component was selected because it addresses specific failure modes of the others, forming a complementary ensemble rather than an arbitrary collection of methods.</w:t>
      </w:r>
    </w:p>
    <w:p>
      <w:pPr>
        <w:jc w:val="both"/>
      </w:pPr>
      <w:r>
        <w:rPr>
          <w:b w:val="0"/>
          <w:i w:val="0"/>
          <w:sz w:val="22"/>
        </w:rPr>
        <w:t>Evaluated on 150 labelled label images spanning 20 template types with seven categories of controlled synthetic violation, the hybrid ensemble achieves 93.3% accuracy, 100% precision, 85.7% recall, and an F1-score of 92.3% on the held-out test set. Violation localisation achieves IoU above 0.5 in 83% of detected errors. Median end-to-end processing time is 401 ms per label — a greater than 1,000-fold speedup over manual review.</w:t>
      </w:r>
    </w:p>
    <w:p>
      <w:pPr>
        <w:jc w:val="both"/>
      </w:pPr>
      <w:r>
        <w:rPr>
          <w:b w:val="0"/>
          <w:i/>
          <w:sz w:val="20"/>
        </w:rPr>
        <w:t>Keywords: industrial template validation, hybrid ensemble, reference-based comparison, ResNet-50 fine-tuning, Siamese networks, contrastive loss, SSIM, ORB, NiceLabel SDK, bounding-box localisation, automated quality assurance.</w:t>
      </w:r>
    </w:p>
    <w:p>
      <w:r>
        <w:br w:type="page"/>
      </w:r>
    </w:p>
    <w:p>
      <w:pPr>
        <w:pStyle w:val="Heading1"/>
      </w:pPr>
      <w:r>
        <w:t>Acknowledgements</w:t>
      </w:r>
    </w:p>
    <w:p>
      <w:pPr>
        <w:jc w:val="both"/>
      </w:pPr>
      <w:r>
        <w:rPr>
          <w:b w:val="0"/>
          <w:i w:val="0"/>
          <w:sz w:val="22"/>
        </w:rPr>
        <w:t>We would like to express our sincere gratitude to our supervisor at Kristianstad University for continuous guidance and constructive feedback throughout this project. Their domain knowledge in machine learning and industrial computer vision shaped the direction of this work at every stage.</w:t>
      </w:r>
    </w:p>
    <w:p>
      <w:pPr>
        <w:jc w:val="both"/>
      </w:pPr>
      <w:r>
        <w:rPr>
          <w:b w:val="0"/>
          <w:i w:val="0"/>
          <w:sz w:val="22"/>
        </w:rPr>
        <w:t>We are deeply grateful to the engineering and QA team at IKEA of Sweden AB in Älmhult. They proposed this research problem, provided access to label specifications and the NiceLabel SDK, and offered domain expertise that was essential for designing the validation rules and understanding real production constraints. Without their collaboration this work would not have been possible.</w:t>
      </w:r>
    </w:p>
    <w:p>
      <w:pPr>
        <w:jc w:val="both"/>
      </w:pPr>
      <w:r>
        <w:rPr>
          <w:b w:val="0"/>
          <w:i w:val="0"/>
          <w:sz w:val="22"/>
        </w:rPr>
        <w:t>We thank our examiner for critique during the midway seminar, which significantly improved our discussion of failure cases and design tradeoffs.</w:t>
      </w:r>
    </w:p>
    <w:p>
      <w:pPr>
        <w:jc w:val="right"/>
      </w:pPr>
      <w:r>
        <w:rPr>
          <w:b w:val="0"/>
          <w:i w:val="0"/>
          <w:sz w:val="22"/>
        </w:rPr>
        <w:t>Ghanasham Saravaiahgari    Ghazal Chamto</w:t>
        <w:br/>
        <w:t>Kristianstad University, April 2026</w:t>
      </w:r>
    </w:p>
    <w:p>
      <w:r>
        <w:br w:type="page"/>
      </w:r>
    </w:p>
    <w:p>
      <w:pPr>
        <w:pStyle w:val="Heading1"/>
      </w:pPr>
      <w:r>
        <w:t>Chapter 1: Introduction</w:t>
      </w:r>
    </w:p>
    <w:p>
      <w:pPr>
        <w:pStyle w:val="Heading2"/>
      </w:pPr>
      <w:r>
        <w:t>1.1  The Industrial Problem</w:t>
      </w:r>
    </w:p>
    <w:p>
      <w:pPr>
        <w:jc w:val="both"/>
      </w:pPr>
      <w:r>
        <w:rPr>
          <w:b w:val="0"/>
          <w:i w:val="0"/>
          <w:sz w:val="22"/>
        </w:rPr>
        <w:t>IKEA of Sweden designs and owns approximately 9,500 product articles, each requiring one or more standardised physical labels for packaging, shipping cartons, and point-of-sale presentation. Each label type is engineered as a NiceLabel template — a proprietary .nlbl file that defines the spatial layout of text fields, barcodes, symbols, regulatory markings, and colour zones. At print time, a structured JSON metadata payload supplies the variable content: article number, product name, origin, supplier details, weights, dimensions, and GS1 DataMatrix application identifiers.</w:t>
      </w:r>
    </w:p>
    <w:p>
      <w:pPr>
        <w:jc w:val="both"/>
      </w:pPr>
      <w:r>
        <w:rPr>
          <w:b w:val="0"/>
          <w:i w:val="0"/>
          <w:sz w:val="22"/>
        </w:rPr>
        <w:t>The critical constraint is conformance: every rendered label must be pixel-accurate against its approved baseline template. A displaced text field can push a barcode outside its quiet zone, causing scanner failures at goods receipt. A font size deviation can make mandatory regulatory text unreadable. A missing field can cause a pallet to be rejected at customs. These are not cosmetic issues — they are operational failures with real supply-chain consequences.</w:t>
      </w:r>
    </w:p>
    <w:p>
      <w:pPr>
        <w:jc w:val="both"/>
      </w:pPr>
      <w:r>
        <w:rPr>
          <w:b w:val="0"/>
          <w:i w:val="0"/>
          <w:sz w:val="22"/>
        </w:rPr>
        <w:t>Currently, QA testers review each generated label visually against a printed or on-screen reference. This process takes 8–12 minutes per label, is not reproducible across testers, and does not scale with template catalogue growth. The QA team identified three categories of errors they catch most frequently:</w:t>
      </w:r>
    </w:p>
    <w:p>
      <w:pPr>
        <w:pStyle w:val="ListBullet"/>
        <w:jc w:val="left"/>
      </w:pPr>
      <w:r>
        <w:rPr>
          <w:sz w:val="22"/>
        </w:rPr>
        <w:t>Content errors: article number in wrong format, missing mandatory field, incorrect supplier name spelling.</w:t>
      </w:r>
    </w:p>
    <w:p>
      <w:pPr>
        <w:pStyle w:val="ListBullet"/>
        <w:jc w:val="left"/>
      </w:pPr>
      <w:r>
        <w:rPr>
          <w:sz w:val="22"/>
        </w:rPr>
        <w:t>Structural errors: element positioned outside its reference zone, font size changed, extra or unexpected element present.</w:t>
      </w:r>
    </w:p>
    <w:p>
      <w:pPr>
        <w:pStyle w:val="ListBullet"/>
        <w:jc w:val="left"/>
      </w:pPr>
      <w:r>
        <w:rPr>
          <w:sz w:val="22"/>
        </w:rPr>
        <w:t>Rendering errors: barcode overlap with adjacent text, quiet zone violation, colour value drifted outside specification.</w:t>
      </w:r>
    </w:p>
    <w:p>
      <w:pPr>
        <w:jc w:val="both"/>
      </w:pPr>
      <w:r>
        <w:rPr>
          <w:b w:val="0"/>
          <w:i w:val="0"/>
          <w:sz w:val="22"/>
        </w:rPr>
        <w:t>This taxonomy directly shaped the three-tier architecture described in this paper.</w:t>
      </w:r>
    </w:p>
    <w:p>
      <w:pPr>
        <w:pStyle w:val="Heading2"/>
      </w:pPr>
      <w:r>
        <w:t>1.2  Why No Single Existing Approach Suffices</w:t>
      </w:r>
    </w:p>
    <w:p>
      <w:pPr>
        <w:jc w:val="both"/>
      </w:pPr>
      <w:r>
        <w:rPr>
          <w:b w:val="0"/>
          <w:i w:val="0"/>
          <w:sz w:val="22"/>
        </w:rPr>
        <w:t>Several existing approaches were considered before designing the system. Each was found to be insufficient on its own for this specific problem:</w:t>
      </w:r>
    </w:p>
    <w:p>
      <w:pPr>
        <w:jc w:val="both"/>
      </w:pPr>
      <w:r>
        <w:rPr>
          <w:b w:val="0"/>
          <w:i w:val="0"/>
          <w:sz w:val="22"/>
        </w:rPr>
        <w:t>Pure OCR-based validation can extract field values from a rendered label and compare them to expected values, but it cannot detect positional violations — a field present in the wrong location passes OCR validation. It also cannot detect visual violations such as font size changes or barcode overlaps.</w:t>
      </w:r>
    </w:p>
    <w:p>
      <w:pPr>
        <w:jc w:val="both"/>
      </w:pPr>
      <w:r>
        <w:rPr>
          <w:b w:val="0"/>
          <w:i w:val="0"/>
          <w:sz w:val="22"/>
        </w:rPr>
        <w:t>Pure pixel-difference comparison is simple and deterministic, but NiceLabel's renderer introduces sub-pixel anti-aliasing variations between successive renders of the same template. These rendering artifacts produce non-zero pixel differences for valid labels, making a strict pixel threshold impractical. Our experiments confirmed this: the pixel-difference baseline produces an F1 of only 0.714, with two false positives from valid labels affected by rendering noise.</w:t>
      </w:r>
    </w:p>
    <w:p>
      <w:pPr>
        <w:jc w:val="both"/>
      </w:pPr>
      <w:r>
        <w:rPr>
          <w:b w:val="0"/>
          <w:i w:val="0"/>
          <w:sz w:val="22"/>
        </w:rPr>
        <w:t>A standalone CNN classifier trained to predict VALID/INVALID is effective for global structural violations but produces opaque decisions with no indication of which element caused the failure. QA operators cannot act on a binary label alone — they need to know where on the label the violation is.</w:t>
      </w:r>
    </w:p>
    <w:p>
      <w:pPr>
        <w:jc w:val="both"/>
      </w:pPr>
      <w:r>
        <w:rPr>
          <w:b w:val="0"/>
          <w:i w:val="0"/>
          <w:sz w:val="22"/>
        </w:rPr>
        <w:t>Rule-based metadata validation catches content errors before rendering, but cannot detect positional or visual violations that only become visible in the rendered image.</w:t>
      </w:r>
    </w:p>
    <w:p>
      <w:pPr>
        <w:jc w:val="both"/>
      </w:pPr>
      <w:r>
        <w:rPr>
          <w:b w:val="0"/>
          <w:i w:val="0"/>
          <w:sz w:val="22"/>
        </w:rPr>
        <w:t>The architecture presented in this paper addresses each of these limitations through a deliberate combination of methods, where each component compensates for the failure modes of the others.</w:t>
      </w:r>
    </w:p>
    <w:p>
      <w:pPr>
        <w:pStyle w:val="Heading2"/>
      </w:pPr>
      <w:r>
        <w:t>1.3  Research Questions</w:t>
      </w:r>
    </w:p>
    <w:p>
      <w:pPr>
        <w:jc w:val="both"/>
      </w:pPr>
      <w:r>
        <w:rPr>
          <w:b/>
          <w:i w:val="0"/>
          <w:sz w:val="22"/>
        </w:rPr>
        <w:t>RQ1: How can a three-tier validation pipeline be designed to detect content, structural, and rendering violations in standardised product label templates, using an ordered combination of rule-based checks, classical image comparison, and deep learning methods?</w:t>
      </w:r>
    </w:p>
    <w:p>
      <w:pPr>
        <w:pStyle w:val="ListBullet"/>
        <w:jc w:val="left"/>
      </w:pPr>
      <w:r>
        <w:rPr>
          <w:sz w:val="22"/>
        </w:rPr>
        <w:t>RQ1.1: How can SSIM, ORB feature matching, ResNet-50 binary classification, and Siamese metric learning each contribute complementary detection capability, and how should their outputs be combined?</w:t>
      </w:r>
    </w:p>
    <w:p>
      <w:pPr>
        <w:pStyle w:val="ListBullet"/>
        <w:jc w:val="left"/>
      </w:pPr>
      <w:r>
        <w:rPr>
          <w:sz w:val="22"/>
        </w:rPr>
        <w:t>RQ1.2: How can violated regions be spatially localised from the visual validation output to produce actionable, operator-readable error reports?</w:t>
      </w:r>
    </w:p>
    <w:p>
      <w:pPr>
        <w:pStyle w:val="ListBullet"/>
        <w:jc w:val="left"/>
      </w:pPr>
      <w:r>
        <w:rPr>
          <w:sz w:val="22"/>
        </w:rPr>
        <w:t>RQ1.3: What is the performance cost and benefit of each additional method added to the ensemble?</w:t>
      </w:r>
    </w:p>
    <w:p>
      <w:pPr>
        <w:pStyle w:val="Heading2"/>
      </w:pPr>
      <w:r>
        <w:t>1.4  Contributions</w:t>
      </w:r>
    </w:p>
    <w:p>
      <w:pPr>
        <w:jc w:val="both"/>
      </w:pPr>
      <w:r>
        <w:rPr>
          <w:b w:val="0"/>
          <w:i w:val="0"/>
          <w:sz w:val="22"/>
        </w:rPr>
        <w:t>The specific contributions of this paper are:</w:t>
      </w:r>
    </w:p>
    <w:p>
      <w:pPr>
        <w:pStyle w:val="ListNumber"/>
        <w:jc w:val="left"/>
      </w:pPr>
      <w:r>
        <w:rPr>
          <w:sz w:val="22"/>
        </w:rPr>
        <w:t>A three-tier validation architecture tailored to the NiceLabel / JSON label production workflow, with an early-exit pre-render stage that avoids unnecessary SDK rendering for definitively invalid metadata.</w:t>
      </w:r>
    </w:p>
    <w:p>
      <w:pPr>
        <w:pStyle w:val="ListNumber"/>
        <w:jc w:val="left"/>
      </w:pPr>
      <w:r>
        <w:rPr>
          <w:sz w:val="22"/>
        </w:rPr>
        <w:t>A four-method visual validation ensemble — SSIM + ORB + ResNet-50 + Siamese — where method selection, combination weights, and localisation strategy are driven by empirical analysis of per-method failure modes on a controlled label violation dataset.</w:t>
      </w:r>
    </w:p>
    <w:p>
      <w:pPr>
        <w:pStyle w:val="ListNumber"/>
        <w:jc w:val="left"/>
      </w:pPr>
      <w:r>
        <w:rPr>
          <w:sz w:val="22"/>
        </w:rPr>
        <w:t>A Grad-CAM-based localisation pipeline that converts the ResNet-50 classifier's activation map into bounding-box overlay annotations on the label image, enabling targeted manual correction.</w:t>
      </w:r>
    </w:p>
    <w:p>
      <w:pPr>
        <w:pStyle w:val="ListNumber"/>
        <w:jc w:val="left"/>
      </w:pPr>
      <w:r>
        <w:rPr>
          <w:sz w:val="22"/>
        </w:rPr>
        <w:t>A quantitative comparison of all four methods individually and in combination, demonstrating that ensemble F1 (0.923) strictly exceeds every individual method.</w:t>
      </w:r>
    </w:p>
    <w:p>
      <w:r>
        <w:br w:type="page"/>
      </w:r>
    </w:p>
    <w:p>
      <w:pPr>
        <w:pStyle w:val="Heading1"/>
      </w:pPr>
      <w:r>
        <w:t>Chapter 2: Related Work</w:t>
      </w:r>
    </w:p>
    <w:p>
      <w:pPr>
        <w:pStyle w:val="Heading2"/>
      </w:pPr>
      <w:r>
        <w:t>2.1  Document Layout Analysis and Template Verification</w:t>
      </w:r>
    </w:p>
    <w:p>
      <w:pPr>
        <w:jc w:val="both"/>
      </w:pPr>
      <w:r>
        <w:rPr>
          <w:b w:val="0"/>
          <w:i w:val="0"/>
          <w:sz w:val="22"/>
        </w:rPr>
        <w:t>Document layout analysis (DLA) — automatically identifying structural regions in document images — is the closest published research area to this work. Zhong et al. [1] introduced PubLayNet, training Faster R-CNN and Mask R-CNN on over one million annotated pages from scientific literature. Pfitzmann et al. [2] extended this with DocLayNet, demonstrating that diverse layout styles require genre-specific training data. Shen et al. [3] packaged pre-trained DLA models into LayoutParser, a modular Python toolkit.</w:t>
      </w:r>
    </w:p>
    <w:p>
      <w:pPr>
        <w:jc w:val="both"/>
      </w:pPr>
      <w:r>
        <w:rPr>
          <w:b w:val="0"/>
          <w:i w:val="0"/>
          <w:sz w:val="22"/>
        </w:rPr>
        <w:t>These works focus on identifying what is in a document — text blocks, figures, tables — but not on verifying whether elements are correctly positioned relative to an approved reference. The verification task is fundamentally different: we do not need to classify layout regions; we need to determine whether the layout matches a known-good baseline.</w:t>
      </w:r>
    </w:p>
    <w:p>
      <w:pPr>
        <w:jc w:val="both"/>
      </w:pPr>
      <w:r>
        <w:rPr>
          <w:b w:val="0"/>
          <w:i w:val="0"/>
          <w:sz w:val="22"/>
        </w:rPr>
        <w:t>Template matching in computer vision literature addresses this more directly. Classical template matching via normalised cross-correlation [4] works well for rigid, non-illumination-varying templates but degrades with sub-pixel rendering differences. Scale-Invariant Feature Transform (SIFT) [5] and its binary-descriptor successor ORB [6] provide sparse keypoint matching that is robust to minor geometric variations — motivating their inclusion in our pipeline.</w:t>
      </w:r>
    </w:p>
    <w:p>
      <w:pPr>
        <w:pStyle w:val="Heading2"/>
      </w:pPr>
      <w:r>
        <w:t>2.2  Industrial Visual Inspection Without Negative Examples</w:t>
      </w:r>
    </w:p>
    <w:p>
      <w:pPr>
        <w:jc w:val="both"/>
      </w:pPr>
      <w:r>
        <w:rPr>
          <w:b w:val="0"/>
          <w:i w:val="0"/>
          <w:sz w:val="22"/>
        </w:rPr>
        <w:t>The most practically important published parallel to our work is industrial anomaly detection. Bergmann et al. [7] introduced MVTec AD, the standard benchmark for unsupervised defect detection in 15 industrial object and texture categories. Critically, MVTec AD methods are trained only on normal (defect-free) examples — directly analogous to our constraint that invalid labels are not archived in production.</w:t>
      </w:r>
    </w:p>
    <w:p>
      <w:pPr>
        <w:jc w:val="both"/>
      </w:pPr>
      <w:r>
        <w:rPr>
          <w:b w:val="0"/>
          <w:i w:val="0"/>
          <w:sz w:val="22"/>
        </w:rPr>
        <w:t>Roth et al. [8] proposed PatchCore, storing a coreset of patch-level embeddings from normal images and classifying test patches by nearest-neighbour distance. PatchCore achieves near-perfect AUROC on MVTec AD without anomaly supervision. Our Siamese network fills a similar role: it learns similarity to the reference baseline without requiring archived invalid examples — only the reference baseline and synthetically generated invalid samples for training are needed.</w:t>
      </w:r>
    </w:p>
    <w:p>
      <w:pPr>
        <w:jc w:val="both"/>
      </w:pPr>
      <w:r>
        <w:rPr>
          <w:b w:val="0"/>
          <w:i w:val="0"/>
          <w:sz w:val="22"/>
        </w:rPr>
        <w:t>The key difference from MVTec methods is that our templates are structured, not textured: violations are semantic (element in wrong zone, field missing) rather than surface-level (scratch, dent, stain). This makes patch-level embedding distances less informative than global CNN features, which is why we use a full-image ResNet-50 classifier alongside a pairwise Siamese comparator.</w:t>
      </w:r>
    </w:p>
    <w:p>
      <w:pPr>
        <w:pStyle w:val="Heading2"/>
      </w:pPr>
      <w:r>
        <w:t>2.3  Metric Learning and Siamese Architectures</w:t>
      </w:r>
    </w:p>
    <w:p>
      <w:pPr>
        <w:jc w:val="both"/>
      </w:pPr>
      <w:r>
        <w:rPr>
          <w:b w:val="0"/>
          <w:i w:val="0"/>
          <w:sz w:val="22"/>
        </w:rPr>
        <w:t>Koch et al. [9] first applied Siamese networks to one-shot image recognition: two CNN sub-networks with shared weights produce embeddings for two images, and a learned distance function determines class membership. Hadsell et al. [10] formalised contrastive loss, training the embedding space so that same-class pairs are close and different-class pairs are separated by a margin.</w:t>
      </w:r>
    </w:p>
    <w:p>
      <w:pPr>
        <w:jc w:val="both"/>
      </w:pPr>
      <w:r>
        <w:rPr>
          <w:b w:val="0"/>
          <w:i w:val="0"/>
          <w:sz w:val="22"/>
        </w:rPr>
        <w:t>Sung et al. [11] replaced the fixed distance with a learned relation module — a small MLP that takes the concatenated embeddings of two images as input and outputs a scalar similarity score. We adopt this relation-network design because it is more expressive than a fixed L2 distance, and because label comparison is not a simple Euclidean problem: a shifted element changes some regions drastically while leaving others identical.</w:t>
      </w:r>
    </w:p>
    <w:p>
      <w:pPr>
        <w:jc w:val="both"/>
      </w:pPr>
      <w:r>
        <w:rPr>
          <w:b w:val="0"/>
          <w:i w:val="0"/>
          <w:sz w:val="22"/>
        </w:rPr>
        <w:t>The Siamese design is specifically suited to template validation because it directly encodes the comparison task: given a (generated label, reference baseline) pair, output a similarity score. This is more natural than asking a standalone classifier to infer invalidity from a single image without access to the reference.</w:t>
      </w:r>
    </w:p>
    <w:p>
      <w:pPr>
        <w:pStyle w:val="Heading2"/>
      </w:pPr>
      <w:r>
        <w:t>2.4  Transfer Learning for Small Datasets</w:t>
      </w:r>
    </w:p>
    <w:p>
      <w:pPr>
        <w:jc w:val="both"/>
      </w:pPr>
      <w:r>
        <w:rPr>
          <w:b w:val="0"/>
          <w:i w:val="0"/>
          <w:sz w:val="22"/>
        </w:rPr>
        <w:t>Our training set contains 120 labelled images — far below the threshold at which training a deep network from random initialisation is reliable. Howard and Ruder [12] and Yosinski et al. [13] demonstrated that features learned on large-scale datasets (ImageNet) transfer effectively to specialised domains, including domains with very different appearance statistics from the source dataset. He et al. [14] showed that ResNet-50 pre-trained on ImageNet provides a strong initialisation for fine-tuning on small domain-specific datasets.</w:t>
      </w:r>
    </w:p>
    <w:p>
      <w:pPr>
        <w:jc w:val="both"/>
      </w:pPr>
      <w:r>
        <w:rPr>
          <w:b w:val="0"/>
          <w:i w:val="0"/>
          <w:sz w:val="22"/>
        </w:rPr>
        <w:t>Our use of ImageNet-pre-trained ResNet-50 and ResNet-18 backbones is grounded in this empirical finding. We further adopt a staged fine-tuning protocol — freezing the backbone for the first five epochs to allow the classification head to reach a stable gradient regime before end-to-end fine-tuning — following the standard practice documented in Howard and Ruder [12].</w:t>
      </w:r>
    </w:p>
    <w:p>
      <w:pPr>
        <w:pStyle w:val="Heading2"/>
      </w:pPr>
      <w:r>
        <w:t>2.5  Perceptual Image Similarity</w:t>
      </w:r>
    </w:p>
    <w:p>
      <w:pPr>
        <w:jc w:val="both"/>
      </w:pPr>
      <w:r>
        <w:rPr>
          <w:b w:val="0"/>
          <w:i w:val="0"/>
          <w:sz w:val="22"/>
        </w:rPr>
        <w:t>Wang et al. [15] introduced SSIM, which captures luminance, contrast, and structural differences in local image patches, correlating better with human perceptual judgements than pixel-level metrics such as mean squared error or PSNR. Zhang et al. [16] later showed that deep feature distances (LPIPS) align even more closely with human judgement than SSIM — motivating the use of CNN features rather than raw pixels as the primary learned representation.</w:t>
      </w:r>
    </w:p>
    <w:p>
      <w:pPr>
        <w:jc w:val="both"/>
      </w:pPr>
      <w:r>
        <w:rPr>
          <w:b w:val="0"/>
          <w:i w:val="0"/>
          <w:sz w:val="22"/>
        </w:rPr>
        <w:t>We use SSIM as the first visual comparison tier because it is fast (18 ms median), produces a spatial SSIM map that directly identifies deviant regions, and its threshold is interpretable and calibratable. The CNN and Siamese components then handle cases where SSIM is insufficient — subtle structural violations that preserve local patch statistics but change global layout.</w:t>
      </w:r>
    </w:p>
    <w:p>
      <w:pPr>
        <w:pStyle w:val="Heading2"/>
      </w:pPr>
      <w:r>
        <w:t>2.6  What This Work Adds</w:t>
      </w:r>
    </w:p>
    <w:p>
      <w:pPr>
        <w:jc w:val="both"/>
      </w:pPr>
      <w:r>
        <w:rPr>
          <w:b w:val="0"/>
          <w:i w:val="0"/>
          <w:sz w:val="22"/>
        </w:rPr>
        <w:t>No published system combines all five capabilities our pipeline provides: (a) metadata rule validation before rendering, (b) reference-based SSIM comparison, (c) keypoint feature matching with spatial homography, (d) fine-tuned CNN binary classification, and (e) metric learning via Siamese comparison — with bounding-box localisation throughout. The specific combination is motivated by the failure modes of each method on this domain, as demonstrated empirically in Chapters 5 and 6.</w:t>
      </w:r>
    </w:p>
    <w:p>
      <w:pPr>
        <w:jc w:val="center"/>
      </w:pPr>
      <w:r>
        <w:rPr>
          <w:b/>
          <w:sz w:val="20"/>
        </w:rPr>
        <w:t>Table 2.1: Capability coverage by method. *via Grad-CAM. †synthetic negatives used for CNN/Siamese training.</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Capability</w:t>
            </w:r>
          </w:p>
        </w:tc>
        <w:tc>
          <w:tcPr>
            <w:tcW w:type="dxa" w:w="1520"/>
          </w:tcPr>
          <w:p>
            <w:r>
              <w:rPr>
                <w:b/>
                <w:sz w:val="20"/>
              </w:rPr>
              <w:t>SSIM</w:t>
            </w:r>
          </w:p>
        </w:tc>
        <w:tc>
          <w:tcPr>
            <w:tcW w:type="dxa" w:w="1520"/>
          </w:tcPr>
          <w:p>
            <w:r>
              <w:rPr>
                <w:b/>
                <w:sz w:val="20"/>
              </w:rPr>
              <w:t>ORB</w:t>
            </w:r>
          </w:p>
        </w:tc>
        <w:tc>
          <w:tcPr>
            <w:tcW w:type="dxa" w:w="1520"/>
          </w:tcPr>
          <w:p>
            <w:r>
              <w:rPr>
                <w:b/>
                <w:sz w:val="20"/>
              </w:rPr>
              <w:t>ResNet-50</w:t>
            </w:r>
          </w:p>
        </w:tc>
        <w:tc>
          <w:tcPr>
            <w:tcW w:type="dxa" w:w="1520"/>
          </w:tcPr>
          <w:p>
            <w:r>
              <w:rPr>
                <w:b/>
                <w:sz w:val="20"/>
              </w:rPr>
              <w:t>Siamese</w:t>
            </w:r>
          </w:p>
        </w:tc>
        <w:tc>
          <w:tcPr>
            <w:tcW w:type="dxa" w:w="1520"/>
          </w:tcPr>
          <w:p>
            <w:r>
              <w:rPr>
                <w:b/>
                <w:sz w:val="20"/>
              </w:rPr>
              <w:t>This System</w:t>
            </w:r>
          </w:p>
        </w:tc>
      </w:tr>
      <w:tr>
        <w:tc>
          <w:tcPr>
            <w:tcW w:type="dxa" w:w="1520"/>
          </w:tcPr>
          <w:p>
            <w:r>
              <w:rPr>
                <w:sz w:val="20"/>
              </w:rPr>
              <w:t>Metadata content checks</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Yes</w:t>
            </w:r>
          </w:p>
        </w:tc>
      </w:tr>
      <w:tr>
        <w:tc>
          <w:tcPr>
            <w:tcW w:type="dxa" w:w="1520"/>
          </w:tcPr>
          <w:p>
            <w:r>
              <w:rPr>
                <w:sz w:val="20"/>
              </w:rPr>
              <w:t>Pixel-level deviation</w:t>
            </w:r>
          </w:p>
        </w:tc>
        <w:tc>
          <w:tcPr>
            <w:tcW w:type="dxa" w:w="1520"/>
          </w:tcPr>
          <w:p>
            <w:r>
              <w:rPr>
                <w:sz w:val="20"/>
              </w:rPr>
              <w:t>Yes</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Yes</w:t>
            </w:r>
          </w:p>
        </w:tc>
      </w:tr>
      <w:tr>
        <w:tc>
          <w:tcPr>
            <w:tcW w:type="dxa" w:w="1520"/>
          </w:tcPr>
          <w:p>
            <w:r>
              <w:rPr>
                <w:sz w:val="20"/>
              </w:rPr>
              <w:t>Sparse feature matching</w:t>
            </w:r>
          </w:p>
        </w:tc>
        <w:tc>
          <w:tcPr>
            <w:tcW w:type="dxa" w:w="1520"/>
          </w:tcPr>
          <w:p>
            <w:r>
              <w:rPr>
                <w:sz w:val="20"/>
              </w:rPr>
              <w:t>No</w:t>
            </w:r>
          </w:p>
        </w:tc>
        <w:tc>
          <w:tcPr>
            <w:tcW w:type="dxa" w:w="1520"/>
          </w:tcPr>
          <w:p>
            <w:r>
              <w:rPr>
                <w:sz w:val="20"/>
              </w:rPr>
              <w:t>Yes</w:t>
            </w:r>
          </w:p>
        </w:tc>
        <w:tc>
          <w:tcPr>
            <w:tcW w:type="dxa" w:w="1520"/>
          </w:tcPr>
          <w:p>
            <w:r>
              <w:rPr>
                <w:sz w:val="20"/>
              </w:rPr>
              <w:t>No</w:t>
            </w:r>
          </w:p>
        </w:tc>
        <w:tc>
          <w:tcPr>
            <w:tcW w:type="dxa" w:w="1520"/>
          </w:tcPr>
          <w:p>
            <w:r>
              <w:rPr>
                <w:sz w:val="20"/>
              </w:rPr>
              <w:t>No</w:t>
            </w:r>
          </w:p>
        </w:tc>
        <w:tc>
          <w:tcPr>
            <w:tcW w:type="dxa" w:w="1520"/>
          </w:tcPr>
          <w:p>
            <w:r>
              <w:rPr>
                <w:sz w:val="20"/>
              </w:rPr>
              <w:t>Yes</w:t>
            </w:r>
          </w:p>
        </w:tc>
      </w:tr>
      <w:tr>
        <w:tc>
          <w:tcPr>
            <w:tcW w:type="dxa" w:w="1520"/>
          </w:tcPr>
          <w:p>
            <w:r>
              <w:rPr>
                <w:sz w:val="20"/>
              </w:rPr>
              <w:t>Global structural learning</w:t>
            </w:r>
          </w:p>
        </w:tc>
        <w:tc>
          <w:tcPr>
            <w:tcW w:type="dxa" w:w="1520"/>
          </w:tcPr>
          <w:p>
            <w:r>
              <w:rPr>
                <w:sz w:val="20"/>
              </w:rPr>
              <w:t>No</w:t>
            </w:r>
          </w:p>
        </w:tc>
        <w:tc>
          <w:tcPr>
            <w:tcW w:type="dxa" w:w="1520"/>
          </w:tcPr>
          <w:p>
            <w:r>
              <w:rPr>
                <w:sz w:val="20"/>
              </w:rPr>
              <w:t>No</w:t>
            </w:r>
          </w:p>
        </w:tc>
        <w:tc>
          <w:tcPr>
            <w:tcW w:type="dxa" w:w="1520"/>
          </w:tcPr>
          <w:p>
            <w:r>
              <w:rPr>
                <w:sz w:val="20"/>
              </w:rPr>
              <w:t>Yes</w:t>
            </w:r>
          </w:p>
        </w:tc>
        <w:tc>
          <w:tcPr>
            <w:tcW w:type="dxa" w:w="1520"/>
          </w:tcPr>
          <w:p>
            <w:r>
              <w:rPr>
                <w:sz w:val="20"/>
              </w:rPr>
              <w:t>No</w:t>
            </w:r>
          </w:p>
        </w:tc>
        <w:tc>
          <w:tcPr>
            <w:tcW w:type="dxa" w:w="1520"/>
          </w:tcPr>
          <w:p>
            <w:r>
              <w:rPr>
                <w:sz w:val="20"/>
              </w:rPr>
              <w:t>Yes</w:t>
            </w:r>
          </w:p>
        </w:tc>
      </w:tr>
      <w:tr>
        <w:tc>
          <w:tcPr>
            <w:tcW w:type="dxa" w:w="1520"/>
          </w:tcPr>
          <w:p>
            <w:r>
              <w:rPr>
                <w:sz w:val="20"/>
              </w:rPr>
              <w:t>Pairwise reference compare</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Yes</w:t>
            </w:r>
          </w:p>
        </w:tc>
        <w:tc>
          <w:tcPr>
            <w:tcW w:type="dxa" w:w="1520"/>
          </w:tcPr>
          <w:p>
            <w:r>
              <w:rPr>
                <w:sz w:val="20"/>
              </w:rPr>
              <w:t>Yes</w:t>
            </w:r>
          </w:p>
        </w:tc>
      </w:tr>
      <w:tr>
        <w:tc>
          <w:tcPr>
            <w:tcW w:type="dxa" w:w="1520"/>
          </w:tcPr>
          <w:p>
            <w:r>
              <w:rPr>
                <w:sz w:val="20"/>
              </w:rPr>
              <w:t>Violation bounding box</w:t>
            </w:r>
          </w:p>
        </w:tc>
        <w:tc>
          <w:tcPr>
            <w:tcW w:type="dxa" w:w="1520"/>
          </w:tcPr>
          <w:p>
            <w:r>
              <w:rPr>
                <w:sz w:val="20"/>
              </w:rPr>
              <w:t>Yes</w:t>
            </w:r>
          </w:p>
        </w:tc>
        <w:tc>
          <w:tcPr>
            <w:tcW w:type="dxa" w:w="1520"/>
          </w:tcPr>
          <w:p>
            <w:r>
              <w:rPr>
                <w:sz w:val="20"/>
              </w:rPr>
              <w:t>Yes</w:t>
            </w:r>
          </w:p>
        </w:tc>
        <w:tc>
          <w:tcPr>
            <w:tcW w:type="dxa" w:w="1520"/>
          </w:tcPr>
          <w:p>
            <w:r>
              <w:rPr>
                <w:sz w:val="20"/>
              </w:rPr>
              <w:t>Yes*</w:t>
            </w:r>
          </w:p>
        </w:tc>
        <w:tc>
          <w:tcPr>
            <w:tcW w:type="dxa" w:w="1520"/>
          </w:tcPr>
          <w:p>
            <w:r>
              <w:rPr>
                <w:sz w:val="20"/>
              </w:rPr>
              <w:t>No</w:t>
            </w:r>
          </w:p>
        </w:tc>
        <w:tc>
          <w:tcPr>
            <w:tcW w:type="dxa" w:w="1520"/>
          </w:tcPr>
          <w:p>
            <w:r>
              <w:rPr>
                <w:sz w:val="20"/>
              </w:rPr>
              <w:t>Yes</w:t>
            </w:r>
          </w:p>
        </w:tc>
      </w:tr>
      <w:tr>
        <w:tc>
          <w:tcPr>
            <w:tcW w:type="dxa" w:w="1520"/>
          </w:tcPr>
          <w:p>
            <w:r>
              <w:rPr>
                <w:sz w:val="20"/>
              </w:rPr>
              <w:t>Works without neg. archives</w:t>
            </w:r>
          </w:p>
        </w:tc>
        <w:tc>
          <w:tcPr>
            <w:tcW w:type="dxa" w:w="1520"/>
          </w:tcPr>
          <w:p>
            <w:r>
              <w:rPr>
                <w:sz w:val="20"/>
              </w:rPr>
              <w:t>Yes</w:t>
            </w:r>
          </w:p>
        </w:tc>
        <w:tc>
          <w:tcPr>
            <w:tcW w:type="dxa" w:w="1520"/>
          </w:tcPr>
          <w:p>
            <w:r>
              <w:rPr>
                <w:sz w:val="20"/>
              </w:rPr>
              <w:t>Yes</w:t>
            </w:r>
          </w:p>
        </w:tc>
        <w:tc>
          <w:tcPr>
            <w:tcW w:type="dxa" w:w="1520"/>
          </w:tcPr>
          <w:p>
            <w:r>
              <w:rPr>
                <w:sz w:val="20"/>
              </w:rPr>
              <w:t>No†</w:t>
            </w:r>
          </w:p>
        </w:tc>
        <w:tc>
          <w:tcPr>
            <w:tcW w:type="dxa" w:w="1520"/>
          </w:tcPr>
          <w:p>
            <w:r>
              <w:rPr>
                <w:sz w:val="20"/>
              </w:rPr>
              <w:t>No†</w:t>
            </w:r>
          </w:p>
        </w:tc>
        <w:tc>
          <w:tcPr>
            <w:tcW w:type="dxa" w:w="1520"/>
          </w:tcPr>
          <w:p>
            <w:r>
              <w:rPr>
                <w:sz w:val="20"/>
              </w:rPr>
              <w:t>Yes†</w:t>
            </w:r>
          </w:p>
        </w:tc>
      </w:tr>
      <w:tr>
        <w:tc>
          <w:tcPr>
            <w:tcW w:type="dxa" w:w="1520"/>
          </w:tcPr>
          <w:p>
            <w:r>
              <w:rPr>
                <w:sz w:val="20"/>
              </w:rPr>
              <w:t>Ensemble combination</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No</w:t>
            </w:r>
          </w:p>
        </w:tc>
        <w:tc>
          <w:tcPr>
            <w:tcW w:type="dxa" w:w="1520"/>
          </w:tcPr>
          <w:p>
            <w:r>
              <w:rPr>
                <w:sz w:val="20"/>
              </w:rPr>
              <w:t>Yes</w:t>
            </w:r>
          </w:p>
        </w:tc>
      </w:tr>
    </w:tbl>
    <w:p/>
    <w:p>
      <w:r>
        <w:br w:type="page"/>
      </w:r>
    </w:p>
    <w:p>
      <w:pPr>
        <w:pStyle w:val="Heading1"/>
      </w:pPr>
      <w:r>
        <w:t>Chapter 3: System Architecture</w:t>
      </w:r>
    </w:p>
    <w:p>
      <w:pPr>
        <w:pStyle w:val="Heading2"/>
      </w:pPr>
      <w:r>
        <w:t>3.1  Architectural Overview</w:t>
      </w:r>
    </w:p>
    <w:p>
      <w:pPr>
        <w:jc w:val="both"/>
      </w:pPr>
      <w:r>
        <w:rPr>
          <w:b w:val="0"/>
          <w:i w:val="0"/>
          <w:sz w:val="22"/>
        </w:rPr>
        <w:t>The system is structured as a three-tier ordered pipeline. Each tier processes the label at a different level of abstraction, and each tier can halt processing early with an INVALID decision before passing to the next tier. This ordering is deliberate: earlier tiers are cheaper to compute, and many violations are detectable before the more expensive later tiers need to run.</w:t>
      </w:r>
    </w:p>
    <w:p>
      <w:pPr>
        <w:jc w:val="center"/>
      </w:pPr>
      <w:r>
        <w:rPr>
          <w:b/>
          <w:sz w:val="20"/>
        </w:rPr>
        <w:t>Table 3.1: Three-tier pipeline overview.</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Tier</w:t>
            </w:r>
          </w:p>
        </w:tc>
        <w:tc>
          <w:tcPr>
            <w:tcW w:type="dxa" w:w="1520"/>
          </w:tcPr>
          <w:p>
            <w:r>
              <w:rPr>
                <w:b/>
                <w:sz w:val="20"/>
              </w:rPr>
              <w:t>Name</w:t>
            </w:r>
          </w:p>
        </w:tc>
        <w:tc>
          <w:tcPr>
            <w:tcW w:type="dxa" w:w="1520"/>
          </w:tcPr>
          <w:p>
            <w:r>
              <w:rPr>
                <w:b/>
                <w:sz w:val="20"/>
              </w:rPr>
              <w:t>Input</w:t>
            </w:r>
          </w:p>
        </w:tc>
        <w:tc>
          <w:tcPr>
            <w:tcW w:type="dxa" w:w="1520"/>
          </w:tcPr>
          <w:p>
            <w:r>
              <w:rPr>
                <w:b/>
                <w:sz w:val="20"/>
              </w:rPr>
              <w:t>Methods</w:t>
            </w:r>
          </w:p>
        </w:tc>
        <w:tc>
          <w:tcPr>
            <w:tcW w:type="dxa" w:w="1520"/>
          </w:tcPr>
          <w:p>
            <w:r>
              <w:rPr>
                <w:b/>
                <w:sz w:val="20"/>
              </w:rPr>
              <w:t>Can Early-Exit?</w:t>
            </w:r>
          </w:p>
        </w:tc>
        <w:tc>
          <w:tcPr>
            <w:tcW w:type="dxa" w:w="1520"/>
          </w:tcPr>
          <w:p>
            <w:r>
              <w:rPr>
                <w:b/>
                <w:sz w:val="20"/>
              </w:rPr>
              <w:t>Median Cost</w:t>
            </w:r>
          </w:p>
        </w:tc>
      </w:tr>
      <w:tr>
        <w:tc>
          <w:tcPr>
            <w:tcW w:type="dxa" w:w="1520"/>
          </w:tcPr>
          <w:p>
            <w:r>
              <w:rPr>
                <w:sz w:val="20"/>
              </w:rPr>
              <w:t>1</w:t>
            </w:r>
          </w:p>
        </w:tc>
        <w:tc>
          <w:tcPr>
            <w:tcW w:type="dxa" w:w="1520"/>
          </w:tcPr>
          <w:p>
            <w:r>
              <w:rPr>
                <w:sz w:val="20"/>
              </w:rPr>
              <w:t>Pre-Render Metadata Validation</w:t>
            </w:r>
          </w:p>
        </w:tc>
        <w:tc>
          <w:tcPr>
            <w:tcW w:type="dxa" w:w="1520"/>
          </w:tcPr>
          <w:p>
            <w:r>
              <w:rPr>
                <w:sz w:val="20"/>
              </w:rPr>
              <w:t>JSON payload</w:t>
            </w:r>
          </w:p>
        </w:tc>
        <w:tc>
          <w:tcPr>
            <w:tcW w:type="dxa" w:w="1520"/>
          </w:tcPr>
          <w:p>
            <w:r>
              <w:rPr>
                <w:sz w:val="20"/>
              </w:rPr>
              <w:t>Rule engine</w:t>
            </w:r>
          </w:p>
        </w:tc>
        <w:tc>
          <w:tcPr>
            <w:tcW w:type="dxa" w:w="1520"/>
          </w:tcPr>
          <w:p>
            <w:r>
              <w:rPr>
                <w:sz w:val="20"/>
              </w:rPr>
              <w:t>Yes</w:t>
            </w:r>
          </w:p>
        </w:tc>
        <w:tc>
          <w:tcPr>
            <w:tcW w:type="dxa" w:w="1520"/>
          </w:tcPr>
          <w:p>
            <w:r>
              <w:rPr>
                <w:sz w:val="20"/>
              </w:rPr>
              <w:t>12 ms</w:t>
            </w:r>
          </w:p>
        </w:tc>
      </w:tr>
      <w:tr>
        <w:tc>
          <w:tcPr>
            <w:tcW w:type="dxa" w:w="1520"/>
          </w:tcPr>
          <w:p>
            <w:r>
              <w:rPr>
                <w:sz w:val="20"/>
              </w:rPr>
              <w:t>2</w:t>
            </w:r>
          </w:p>
        </w:tc>
        <w:tc>
          <w:tcPr>
            <w:tcW w:type="dxa" w:w="1520"/>
          </w:tcPr>
          <w:p>
            <w:r>
              <w:rPr>
                <w:sz w:val="20"/>
              </w:rPr>
              <w:t>Rendering</w:t>
            </w:r>
          </w:p>
        </w:tc>
        <w:tc>
          <w:tcPr>
            <w:tcW w:type="dxa" w:w="1520"/>
          </w:tcPr>
          <w:p>
            <w:r>
              <w:rPr>
                <w:sz w:val="20"/>
              </w:rPr>
              <w:t>.nlbl file</w:t>
            </w:r>
          </w:p>
        </w:tc>
        <w:tc>
          <w:tcPr>
            <w:tcW w:type="dxa" w:w="1520"/>
          </w:tcPr>
          <w:p>
            <w:r>
              <w:rPr>
                <w:sz w:val="20"/>
              </w:rPr>
              <w:t>NiceLabel .NET SDK</w:t>
            </w:r>
          </w:p>
        </w:tc>
        <w:tc>
          <w:tcPr>
            <w:tcW w:type="dxa" w:w="1520"/>
          </w:tcPr>
          <w:p>
            <w:r>
              <w:rPr>
                <w:sz w:val="20"/>
              </w:rPr>
              <w:t>No</w:t>
            </w:r>
          </w:p>
        </w:tc>
        <w:tc>
          <w:tcPr>
            <w:tcW w:type="dxa" w:w="1520"/>
          </w:tcPr>
          <w:p>
            <w:r>
              <w:rPr>
                <w:sz w:val="20"/>
              </w:rPr>
              <w:t>143 ms</w:t>
            </w:r>
          </w:p>
        </w:tc>
      </w:tr>
      <w:tr>
        <w:tc>
          <w:tcPr>
            <w:tcW w:type="dxa" w:w="1520"/>
          </w:tcPr>
          <w:p>
            <w:r>
              <w:rPr>
                <w:sz w:val="20"/>
              </w:rPr>
              <w:t>3</w:t>
            </w:r>
          </w:p>
        </w:tc>
        <w:tc>
          <w:tcPr>
            <w:tcW w:type="dxa" w:w="1520"/>
          </w:tcPr>
          <w:p>
            <w:r>
              <w:rPr>
                <w:sz w:val="20"/>
              </w:rPr>
              <w:t>Visual Validation Ensemble</w:t>
            </w:r>
          </w:p>
        </w:tc>
        <w:tc>
          <w:tcPr>
            <w:tcW w:type="dxa" w:w="1520"/>
          </w:tcPr>
          <w:p>
            <w:r>
              <w:rPr>
                <w:sz w:val="20"/>
              </w:rPr>
              <w:t>Rendered PNG</w:t>
            </w:r>
          </w:p>
        </w:tc>
        <w:tc>
          <w:tcPr>
            <w:tcW w:type="dxa" w:w="1520"/>
          </w:tcPr>
          <w:p>
            <w:r>
              <w:rPr>
                <w:sz w:val="20"/>
              </w:rPr>
              <w:t>SSIM + ORB + CNN + Siamese</w:t>
            </w:r>
          </w:p>
        </w:tc>
        <w:tc>
          <w:tcPr>
            <w:tcW w:type="dxa" w:w="1520"/>
          </w:tcPr>
          <w:p>
            <w:r>
              <w:rPr>
                <w:sz w:val="20"/>
              </w:rPr>
              <w:t>Yes</w:t>
            </w:r>
          </w:p>
        </w:tc>
        <w:tc>
          <w:tcPr>
            <w:tcW w:type="dxa" w:w="1520"/>
          </w:tcPr>
          <w:p>
            <w:r>
              <w:rPr>
                <w:sz w:val="20"/>
              </w:rPr>
              <w:t>237 ms</w:t>
            </w:r>
          </w:p>
        </w:tc>
      </w:tr>
    </w:tbl>
    <w:p/>
    <w:p>
      <w:pPr>
        <w:jc w:val="both"/>
      </w:pPr>
      <w:r>
        <w:rPr>
          <w:b w:val="0"/>
          <w:i w:val="0"/>
          <w:sz w:val="22"/>
        </w:rPr>
        <w:t>The tiers are not independent classifiers in an ensemble — they are sequential stages in a single validation pipeline. A label reaches Tier 3 only if it passes Tier 1. The Tier 3 ensemble then combines four parallel methods into a single final decision.</w:t>
      </w:r>
    </w:p>
    <w:p>
      <w:pPr>
        <w:pStyle w:val="Heading2"/>
      </w:pPr>
      <w:r>
        <w:t>3.2  Tier 1: Pre-Render Metadata Validation</w:t>
      </w:r>
    </w:p>
    <w:p>
      <w:pPr>
        <w:jc w:val="both"/>
      </w:pPr>
      <w:r>
        <w:rPr>
          <w:b w:val="0"/>
          <w:i w:val="0"/>
          <w:sz w:val="22"/>
        </w:rPr>
        <w:t>The first tier validates the JSON metadata payload before any rendering occurs. This stage catches a class of violations that would be invisible in the rendered image — or detectable only indirectly — but are definitively wrong at the data level.</w:t>
      </w:r>
    </w:p>
    <w:p>
      <w:pPr>
        <w:jc w:val="both"/>
      </w:pPr>
      <w:r>
        <w:rPr>
          <w:b w:val="0"/>
          <w:i w:val="0"/>
          <w:sz w:val="22"/>
        </w:rPr>
        <w:t>Each template type has an associated JSON rule schema file stored in the template catalog. The rule engine loads the schema for the label_type_id found in the payload and evaluates each rule in order of severity.</w:t>
      </w:r>
    </w:p>
    <w:p>
      <w:pPr>
        <w:jc w:val="center"/>
      </w:pPr>
      <w:r>
        <w:rPr>
          <w:b/>
          <w:sz w:val="20"/>
        </w:rPr>
        <w:t>Table 3.2: Rule categories and their violation mapping.</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Rule Category</w:t>
            </w:r>
          </w:p>
        </w:tc>
        <w:tc>
          <w:tcPr>
            <w:tcW w:type="dxa" w:w="2280"/>
          </w:tcPr>
          <w:p>
            <w:r>
              <w:rPr>
                <w:b/>
                <w:sz w:val="20"/>
              </w:rPr>
              <w:t>Example Rule</w:t>
            </w:r>
          </w:p>
        </w:tc>
        <w:tc>
          <w:tcPr>
            <w:tcW w:type="dxa" w:w="2280"/>
          </w:tcPr>
          <w:p>
            <w:r>
              <w:rPr>
                <w:b/>
                <w:sz w:val="20"/>
              </w:rPr>
              <w:t>Severity</w:t>
            </w:r>
          </w:p>
        </w:tc>
        <w:tc>
          <w:tcPr>
            <w:tcW w:type="dxa" w:w="2280"/>
          </w:tcPr>
          <w:p>
            <w:r>
              <w:rPr>
                <w:b/>
                <w:sz w:val="20"/>
              </w:rPr>
              <w:t>Violation Type</w:t>
            </w:r>
          </w:p>
        </w:tc>
      </w:tr>
      <w:tr>
        <w:tc>
          <w:tcPr>
            <w:tcW w:type="dxa" w:w="2280"/>
          </w:tcPr>
          <w:p>
            <w:r>
              <w:rPr>
                <w:sz w:val="20"/>
              </w:rPr>
              <w:t>Field presence</w:t>
            </w:r>
          </w:p>
        </w:tc>
        <w:tc>
          <w:tcPr>
            <w:tcW w:type="dxa" w:w="2280"/>
          </w:tcPr>
          <w:p>
            <w:r>
              <w:rPr>
                <w:sz w:val="20"/>
              </w:rPr>
              <w:t>article_number must be non-null and non-empty</w:t>
            </w:r>
          </w:p>
        </w:tc>
        <w:tc>
          <w:tcPr>
            <w:tcW w:type="dxa" w:w="2280"/>
          </w:tcPr>
          <w:p>
            <w:r>
              <w:rPr>
                <w:sz w:val="20"/>
              </w:rPr>
              <w:t>Error</w:t>
            </w:r>
          </w:p>
        </w:tc>
        <w:tc>
          <w:tcPr>
            <w:tcW w:type="dxa" w:w="2280"/>
          </w:tcPr>
          <w:p>
            <w:r>
              <w:rPr>
                <w:sz w:val="20"/>
              </w:rPr>
              <w:t>V2 — Missing field</w:t>
            </w:r>
          </w:p>
        </w:tc>
      </w:tr>
      <w:tr>
        <w:tc>
          <w:tcPr>
            <w:tcW w:type="dxa" w:w="2280"/>
          </w:tcPr>
          <w:p>
            <w:r>
              <w:rPr>
                <w:sz w:val="20"/>
              </w:rPr>
              <w:t>Regex format</w:t>
            </w:r>
          </w:p>
        </w:tc>
        <w:tc>
          <w:tcPr>
            <w:tcW w:type="dxa" w:w="2280"/>
          </w:tcPr>
          <w:p>
            <w:r>
              <w:rPr>
                <w:sz w:val="20"/>
              </w:rPr>
              <w:t>article_number must match \d{3}\.\d{3}\.\d{2}</w:t>
            </w:r>
          </w:p>
        </w:tc>
        <w:tc>
          <w:tcPr>
            <w:tcW w:type="dxa" w:w="2280"/>
          </w:tcPr>
          <w:p>
            <w:r>
              <w:rPr>
                <w:sz w:val="20"/>
              </w:rPr>
              <w:t>Error</w:t>
            </w:r>
          </w:p>
        </w:tc>
        <w:tc>
          <w:tcPr>
            <w:tcW w:type="dxa" w:w="2280"/>
          </w:tcPr>
          <w:p>
            <w:r>
              <w:rPr>
                <w:sz w:val="20"/>
              </w:rPr>
              <w:t>V5 — Wrong format</w:t>
            </w:r>
          </w:p>
        </w:tc>
      </w:tr>
      <w:tr>
        <w:tc>
          <w:tcPr>
            <w:tcW w:type="dxa" w:w="2280"/>
          </w:tcPr>
          <w:p>
            <w:r>
              <w:rPr>
                <w:sz w:val="20"/>
              </w:rPr>
              <w:t>Enumeration</w:t>
            </w:r>
          </w:p>
        </w:tc>
        <w:tc>
          <w:tcPr>
            <w:tcW w:type="dxa" w:w="2280"/>
          </w:tcPr>
          <w:p>
            <w:r>
              <w:rPr>
                <w:sz w:val="20"/>
              </w:rPr>
              <w:t>label_type_id must be in the approved template catalog</w:t>
            </w:r>
          </w:p>
        </w:tc>
        <w:tc>
          <w:tcPr>
            <w:tcW w:type="dxa" w:w="2280"/>
          </w:tcPr>
          <w:p>
            <w:r>
              <w:rPr>
                <w:sz w:val="20"/>
              </w:rPr>
              <w:t>Error</w:t>
            </w:r>
          </w:p>
        </w:tc>
        <w:tc>
          <w:tcPr>
            <w:tcW w:type="dxa" w:w="2280"/>
          </w:tcPr>
          <w:p>
            <w:r>
              <w:rPr>
                <w:sz w:val="20"/>
              </w:rPr>
              <w:t>Content</w:t>
            </w:r>
          </w:p>
        </w:tc>
      </w:tr>
      <w:tr>
        <w:tc>
          <w:tcPr>
            <w:tcW w:type="dxa" w:w="2280"/>
          </w:tcPr>
          <w:p>
            <w:r>
              <w:rPr>
                <w:sz w:val="20"/>
              </w:rPr>
              <w:t>ISO code</w:t>
            </w:r>
          </w:p>
        </w:tc>
        <w:tc>
          <w:tcPr>
            <w:tcW w:type="dxa" w:w="2280"/>
          </w:tcPr>
          <w:p>
            <w:r>
              <w:rPr>
                <w:sz w:val="20"/>
              </w:rPr>
              <w:t>country_code must be ISO 3166-1 alpha-2</w:t>
            </w:r>
          </w:p>
        </w:tc>
        <w:tc>
          <w:tcPr>
            <w:tcW w:type="dxa" w:w="2280"/>
          </w:tcPr>
          <w:p>
            <w:r>
              <w:rPr>
                <w:sz w:val="20"/>
              </w:rPr>
              <w:t>Error</w:t>
            </w:r>
          </w:p>
        </w:tc>
        <w:tc>
          <w:tcPr>
            <w:tcW w:type="dxa" w:w="2280"/>
          </w:tcPr>
          <w:p>
            <w:r>
              <w:rPr>
                <w:sz w:val="20"/>
              </w:rPr>
              <w:t>Content</w:t>
            </w:r>
          </w:p>
        </w:tc>
      </w:tr>
      <w:tr>
        <w:tc>
          <w:tcPr>
            <w:tcW w:type="dxa" w:w="2280"/>
          </w:tcPr>
          <w:p>
            <w:r>
              <w:rPr>
                <w:sz w:val="20"/>
              </w:rPr>
              <w:t>GS1 date format</w:t>
            </w:r>
          </w:p>
        </w:tc>
        <w:tc>
          <w:tcPr>
            <w:tcW w:type="dxa" w:w="2280"/>
          </w:tcPr>
          <w:p>
            <w:r>
              <w:rPr>
                <w:sz w:val="20"/>
              </w:rPr>
              <w:t>datamatrix.ai_13 must match YYMMDD</w:t>
            </w:r>
          </w:p>
        </w:tc>
        <w:tc>
          <w:tcPr>
            <w:tcW w:type="dxa" w:w="2280"/>
          </w:tcPr>
          <w:p>
            <w:r>
              <w:rPr>
                <w:sz w:val="20"/>
              </w:rPr>
              <w:t>Error</w:t>
            </w:r>
          </w:p>
        </w:tc>
        <w:tc>
          <w:tcPr>
            <w:tcW w:type="dxa" w:w="2280"/>
          </w:tcPr>
          <w:p>
            <w:r>
              <w:rPr>
                <w:sz w:val="20"/>
              </w:rPr>
              <w:t>Content</w:t>
            </w:r>
          </w:p>
        </w:tc>
      </w:tr>
      <w:tr>
        <w:tc>
          <w:tcPr>
            <w:tcW w:type="dxa" w:w="2280"/>
          </w:tcPr>
          <w:p>
            <w:r>
              <w:rPr>
                <w:sz w:val="20"/>
              </w:rPr>
              <w:t>Length limit</w:t>
            </w:r>
          </w:p>
        </w:tc>
        <w:tc>
          <w:tcPr>
            <w:tcW w:type="dxa" w:w="2280"/>
          </w:tcPr>
          <w:p>
            <w:r>
              <w:rPr>
                <w:sz w:val="20"/>
              </w:rPr>
              <w:t>product_name must not exceed 40 characters</w:t>
            </w:r>
          </w:p>
        </w:tc>
        <w:tc>
          <w:tcPr>
            <w:tcW w:type="dxa" w:w="2280"/>
          </w:tcPr>
          <w:p>
            <w:r>
              <w:rPr>
                <w:sz w:val="20"/>
              </w:rPr>
              <w:t>Warning</w:t>
            </w:r>
          </w:p>
        </w:tc>
        <w:tc>
          <w:tcPr>
            <w:tcW w:type="dxa" w:w="2280"/>
          </w:tcPr>
          <w:p>
            <w:r>
              <w:rPr>
                <w:sz w:val="20"/>
              </w:rPr>
              <w:t>V3 indirect</w:t>
            </w:r>
          </w:p>
        </w:tc>
      </w:tr>
      <w:tr>
        <w:tc>
          <w:tcPr>
            <w:tcW w:type="dxa" w:w="2280"/>
          </w:tcPr>
          <w:p>
            <w:r>
              <w:rPr>
                <w:sz w:val="20"/>
              </w:rPr>
              <w:t>Cross-field</w:t>
            </w:r>
          </w:p>
        </w:tc>
        <w:tc>
          <w:tcPr>
            <w:tcW w:type="dxa" w:w="2280"/>
          </w:tcPr>
          <w:p>
            <w:r>
              <w:rPr>
                <w:sz w:val="20"/>
              </w:rPr>
              <w:t>gross_weight_kg must be positive if unit field equals 'kg'</w:t>
            </w:r>
          </w:p>
        </w:tc>
        <w:tc>
          <w:tcPr>
            <w:tcW w:type="dxa" w:w="2280"/>
          </w:tcPr>
          <w:p>
            <w:r>
              <w:rPr>
                <w:sz w:val="20"/>
              </w:rPr>
              <w:t>Warning</w:t>
            </w:r>
          </w:p>
        </w:tc>
        <w:tc>
          <w:tcPr>
            <w:tcW w:type="dxa" w:w="2280"/>
          </w:tcPr>
          <w:p>
            <w:r>
              <w:rPr>
                <w:sz w:val="20"/>
              </w:rPr>
              <w:t>Content</w:t>
            </w:r>
          </w:p>
        </w:tc>
      </w:tr>
    </w:tbl>
    <w:p/>
    <w:p>
      <w:pPr>
        <w:jc w:val="left"/>
      </w:pPr>
      <w:r>
        <w:rPr>
          <w:b/>
          <w:sz w:val="22"/>
        </w:rPr>
        <w:t xml:space="preserve">Design decision — Early exit on error-severity failures: </w:t>
      </w:r>
      <w:r>
        <w:rPr>
          <w:i/>
          <w:sz w:val="22"/>
        </w:rPr>
        <w:t>If any error-severity rule fails, the system returns INVALID immediately, skipping the 143 ms NiceLabel rendering step. In the dataset, 9 out of 68 invalid labels (V5 violations) trigger early exit. This reduces total processing time for these labels from 401 ms to 12 ms.</w:t>
      </w:r>
    </w:p>
    <w:p/>
    <w:p>
      <w:pPr>
        <w:jc w:val="both"/>
      </w:pPr>
      <w:r>
        <w:rPr>
          <w:b w:val="0"/>
          <w:i w:val="0"/>
          <w:sz w:val="22"/>
        </w:rPr>
        <w:t>Warning-severity failures are logged in the validation report but do not block rendering. This distinction reflects the operational reality that some field length exceedances may be acceptable on certain template variants while being definitive failures on others.</w:t>
      </w:r>
    </w:p>
    <w:p>
      <w:pPr>
        <w:pStyle w:val="Heading2"/>
      </w:pPr>
      <w:r>
        <w:t>3.3  Tier 2: NiceLabel SDK Rendering</w:t>
      </w:r>
    </w:p>
    <w:p>
      <w:pPr>
        <w:jc w:val="both"/>
      </w:pPr>
      <w:r>
        <w:rPr>
          <w:b w:val="0"/>
          <w:i w:val="0"/>
          <w:sz w:val="22"/>
        </w:rPr>
        <w:t>Labels engineered in NiceLabel are saved as proprietary binary .nlbl files. These files embed the full template definition: element positions, fonts, field bindings, conditional printing logic, and printer calibration metadata. No open-source tool can render .nlbl files accurately — the proprietary renderer applies its own anti-aliasing, kerning, and barcode generation logic that third-party tools do not replicate.</w:t>
      </w:r>
    </w:p>
    <w:p>
      <w:pPr>
        <w:jc w:val="both"/>
      </w:pPr>
      <w:r>
        <w:rPr>
          <w:b w:val="0"/>
          <w:i w:val="0"/>
          <w:sz w:val="22"/>
        </w:rPr>
        <w:t>The rendering component wraps the NiceLabel .NET SDK in a Python-callable subprocess. The SDK opens the .nlbl file, binds the JSON field values to the template's named variables, renders to an in-memory bitmap, and exports a 300 DPI PNG.</w:t>
      </w:r>
    </w:p>
    <w:p>
      <w:pPr>
        <w:jc w:val="left"/>
      </w:pPr>
      <w:r>
        <w:rPr>
          <w:b/>
          <w:sz w:val="22"/>
        </w:rPr>
        <w:t xml:space="preserve">Design decision — Why 300 DPI: </w:t>
      </w:r>
      <w:r>
        <w:rPr>
          <w:i/>
          <w:sz w:val="22"/>
        </w:rPr>
        <w:t>Label specifications define element positions in millimetres. At 300 DPI (the standard print resolution for IKEA labels), 1 mm = 11.81 pixels. This provides sufficient spatial resolution to detect the 5 mm minimum displacement threshold (V1 violations = 59 pixels at 300 DPI) while keeping PNG file sizes manageable (typically 1,200 to 2,400 px per dimension).</w:t>
      </w:r>
    </w:p>
    <w:p/>
    <w:p>
      <w:pPr>
        <w:jc w:val="both"/>
      </w:pPr>
      <w:r>
        <w:rPr>
          <w:b w:val="0"/>
          <w:i w:val="0"/>
          <w:sz w:val="22"/>
        </w:rPr>
        <w:t>The rendered PNG is the primary input to Tier 3. The approved baseline PNG for the label type (stored in the template catalog at the same 300 DPI resolution) is loaded in parallel and aligned to the same pixel dimensions before comparison.</w:t>
      </w:r>
    </w:p>
    <w:p>
      <w:pPr>
        <w:jc w:val="both"/>
      </w:pPr>
      <w:r>
        <w:rPr>
          <w:b w:val="0"/>
          <w:i w:val="0"/>
          <w:sz w:val="22"/>
        </w:rPr>
        <w:t>The template catalog contains one approved baseline PNG per template type per version. When a template is updated and approved by the design team, its new baseline PNG is added to the catalog. The system always compares against the version-specific baseline, not the latest version, to avoid false positives from legitimate design updates.</w:t>
      </w:r>
    </w:p>
    <w:p>
      <w:pPr>
        <w:pStyle w:val="Heading2"/>
      </w:pPr>
      <w:r>
        <w:t>3.4  Tier 3: Visual Validation Ensemble</w:t>
      </w:r>
    </w:p>
    <w:p>
      <w:pPr>
        <w:jc w:val="both"/>
      </w:pPr>
      <w:r>
        <w:rPr>
          <w:b w:val="0"/>
          <w:i w:val="0"/>
          <w:sz w:val="22"/>
        </w:rPr>
        <w:t>The visual validation ensemble applies four methods in parallel to the rendered PNG and its reference baseline. The four methods were selected because they are complementary: each is sensitive to a different class of violation and insensitive to a different class of rendering noise.</w:t>
      </w:r>
    </w:p>
    <w:p>
      <w:pPr>
        <w:jc w:val="both"/>
      </w:pPr>
      <w:r>
        <w:rPr>
          <w:b w:val="0"/>
          <w:i w:val="0"/>
          <w:sz w:val="22"/>
        </w:rPr>
        <w:t>The four methods and their primary failure modes are summarised below. The detailed implementation of each is given in Chapter 4.</w:t>
      </w:r>
    </w:p>
    <w:p>
      <w:pPr>
        <w:jc w:val="center"/>
      </w:pPr>
      <w:r>
        <w:rPr>
          <w:b/>
          <w:sz w:val="20"/>
        </w:rPr>
        <w:t>Table 3.3: Ensemble method strengths, weaknesses, and primary violation targets. V1=displacement, V2=missing field, V3=font size, V4=barcode overlap, V6=colour mismatch, V7=extra element.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Method</w:t>
            </w:r>
          </w:p>
        </w:tc>
        <w:tc>
          <w:tcPr>
            <w:tcW w:type="dxa" w:w="2280"/>
          </w:tcPr>
          <w:p>
            <w:r>
              <w:rPr>
                <w:b/>
                <w:sz w:val="20"/>
              </w:rPr>
              <w:t>Primary Strength</w:t>
            </w:r>
          </w:p>
        </w:tc>
        <w:tc>
          <w:tcPr>
            <w:tcW w:type="dxa" w:w="2280"/>
          </w:tcPr>
          <w:p>
            <w:r>
              <w:rPr>
                <w:b/>
                <w:sz w:val="20"/>
              </w:rPr>
              <w:t>Primary Weakness</w:t>
            </w:r>
          </w:p>
        </w:tc>
        <w:tc>
          <w:tcPr>
            <w:tcW w:type="dxa" w:w="2280"/>
          </w:tcPr>
          <w:p>
            <w:r>
              <w:rPr>
                <w:b/>
                <w:sz w:val="20"/>
              </w:rPr>
              <w:t>Violation Types Targeted</w:t>
            </w:r>
          </w:p>
        </w:tc>
      </w:tr>
      <w:tr>
        <w:tc>
          <w:tcPr>
            <w:tcW w:type="dxa" w:w="2280"/>
          </w:tcPr>
          <w:p>
            <w:r>
              <w:rPr>
                <w:sz w:val="20"/>
              </w:rPr>
              <w:t>SSIM</w:t>
            </w:r>
          </w:p>
        </w:tc>
        <w:tc>
          <w:tcPr>
            <w:tcW w:type="dxa" w:w="2280"/>
          </w:tcPr>
          <w:p>
            <w:r>
              <w:rPr>
                <w:sz w:val="20"/>
              </w:rPr>
              <w:t>Fast; spatially resolved; interpretable threshold</w:t>
            </w:r>
          </w:p>
        </w:tc>
        <w:tc>
          <w:tcPr>
            <w:tcW w:type="dxa" w:w="2280"/>
          </w:tcPr>
          <w:p>
            <w:r>
              <w:rPr>
                <w:sz w:val="20"/>
              </w:rPr>
              <w:t>Sensitive to anti-aliasing noise; misses colour violations</w:t>
            </w:r>
          </w:p>
        </w:tc>
        <w:tc>
          <w:tcPr>
            <w:tcW w:type="dxa" w:w="2280"/>
          </w:tcPr>
          <w:p>
            <w:r>
              <w:rPr>
                <w:sz w:val="20"/>
              </w:rPr>
              <w:t>V1, V3, V4, V7</w:t>
            </w:r>
          </w:p>
        </w:tc>
      </w:tr>
      <w:tr>
        <w:tc>
          <w:tcPr>
            <w:tcW w:type="dxa" w:w="2280"/>
          </w:tcPr>
          <w:p>
            <w:r>
              <w:rPr>
                <w:sz w:val="20"/>
              </w:rPr>
              <w:t>ORB</w:t>
            </w:r>
          </w:p>
        </w:tc>
        <w:tc>
          <w:tcPr>
            <w:tcW w:type="dxa" w:w="2280"/>
          </w:tcPr>
          <w:p>
            <w:r>
              <w:rPr>
                <w:sz w:val="20"/>
              </w:rPr>
              <w:t>Robust to sub-pixel rendering variation; detects spatial shifts</w:t>
            </w:r>
          </w:p>
        </w:tc>
        <w:tc>
          <w:tcPr>
            <w:tcW w:type="dxa" w:w="2280"/>
          </w:tcPr>
          <w:p>
            <w:r>
              <w:rPr>
                <w:sz w:val="20"/>
              </w:rPr>
              <w:t>Fails on uniform label regions with few keypoints</w:t>
            </w:r>
          </w:p>
        </w:tc>
        <w:tc>
          <w:tcPr>
            <w:tcW w:type="dxa" w:w="2280"/>
          </w:tcPr>
          <w:p>
            <w:r>
              <w:rPr>
                <w:sz w:val="20"/>
              </w:rPr>
              <w:t>V1, V4, V7</w:t>
            </w:r>
          </w:p>
        </w:tc>
      </w:tr>
      <w:tr>
        <w:tc>
          <w:tcPr>
            <w:tcW w:type="dxa" w:w="2280"/>
          </w:tcPr>
          <w:p>
            <w:r>
              <w:rPr>
                <w:sz w:val="20"/>
              </w:rPr>
              <w:t>ResNet-50</w:t>
            </w:r>
          </w:p>
        </w:tc>
        <w:tc>
          <w:tcPr>
            <w:tcW w:type="dxa" w:w="2280"/>
          </w:tcPr>
          <w:p>
            <w:r>
              <w:rPr>
                <w:sz w:val="20"/>
              </w:rPr>
              <w:t>Global structural pattern capture; robust to local noise</w:t>
            </w:r>
          </w:p>
        </w:tc>
        <w:tc>
          <w:tcPr>
            <w:tcW w:type="dxa" w:w="2280"/>
          </w:tcPr>
          <w:p>
            <w:r>
              <w:rPr>
                <w:sz w:val="20"/>
              </w:rPr>
              <w:t>Opaque decision; no localisation without Grad-CAM</w:t>
            </w:r>
          </w:p>
        </w:tc>
        <w:tc>
          <w:tcPr>
            <w:tcW w:type="dxa" w:w="2280"/>
          </w:tcPr>
          <w:p>
            <w:r>
              <w:rPr>
                <w:sz w:val="20"/>
              </w:rPr>
              <w:t>V1, V2, V3, V4, V7</w:t>
            </w:r>
          </w:p>
        </w:tc>
      </w:tr>
      <w:tr>
        <w:tc>
          <w:tcPr>
            <w:tcW w:type="dxa" w:w="2280"/>
          </w:tcPr>
          <w:p>
            <w:r>
              <w:rPr>
                <w:sz w:val="20"/>
              </w:rPr>
              <w:t>Siamese</w:t>
            </w:r>
          </w:p>
        </w:tc>
        <w:tc>
          <w:tcPr>
            <w:tcW w:type="dxa" w:w="2280"/>
          </w:tcPr>
          <w:p>
            <w:r>
              <w:rPr>
                <w:sz w:val="20"/>
              </w:rPr>
              <w:t>Direct pairwise comparison to reference; few-shot capable</w:t>
            </w:r>
          </w:p>
        </w:tc>
        <w:tc>
          <w:tcPr>
            <w:tcW w:type="dxa" w:w="2280"/>
          </w:tcPr>
          <w:p>
            <w:r>
              <w:rPr>
                <w:sz w:val="20"/>
              </w:rPr>
              <w:t>Colour-jitter training makes it insensitive to V6</w:t>
            </w:r>
          </w:p>
        </w:tc>
        <w:tc>
          <w:tcPr>
            <w:tcW w:type="dxa" w:w="2280"/>
          </w:tcPr>
          <w:p>
            <w:r>
              <w:rPr>
                <w:sz w:val="20"/>
              </w:rPr>
              <w:t>V1, V2, V3, V4, V7</w:t>
            </w:r>
          </w:p>
        </w:tc>
      </w:tr>
    </w:tbl>
    <w:p/>
    <w:p>
      <w:pPr>
        <w:pStyle w:val="Heading2"/>
      </w:pPr>
      <w:r>
        <w:t>3.5  Ensemble Decision and Localisation</w:t>
      </w:r>
    </w:p>
    <w:p>
      <w:pPr>
        <w:jc w:val="both"/>
      </w:pPr>
      <w:r>
        <w:rPr>
          <w:b w:val="0"/>
          <w:i w:val="0"/>
          <w:sz w:val="22"/>
        </w:rPr>
        <w:t>Each method produces a binary decision d_k in {0=VALID, 1=INVALID} and a set of candidate bounding boxes for any detected violation regions. The final INVALID/VALID decision uses weighted majority voting:</w:t>
      </w:r>
    </w:p>
    <w:p>
      <w:pPr>
        <w:jc w:val="center"/>
      </w:pPr>
      <w:r>
        <w:rPr>
          <w:i/>
          <w:sz w:val="22"/>
        </w:rPr>
        <w:t>d_final = 1   if   (0.15 * d_SSIM + 0.25 * d_ORB + 0.35 * d_CNN + 0.25 * d_Siamese) &gt;= 0.5   else   0</w:t>
      </w:r>
    </w:p>
    <w:p>
      <w:pPr>
        <w:jc w:val="right"/>
      </w:pPr>
      <w:r>
        <w:rPr>
          <w:sz w:val="20"/>
        </w:rPr>
        <w:t>(3.1)</w:t>
      </w:r>
    </w:p>
    <w:p>
      <w:pPr>
        <w:jc w:val="both"/>
      </w:pPr>
      <w:r>
        <w:rPr>
          <w:b w:val="0"/>
          <w:i w:val="0"/>
          <w:sz w:val="22"/>
        </w:rPr>
        <w:t>Weights were determined by grid search over the validation set (see Section 5.1). The ResNet-50 receives the highest weight (0.35) because it achieves the highest standalone F1. The Siamese receives higher weight than SSIM and equal weight to ORB because its complementary pairwise comparison is less correlated with the ResNet-50's decisions. SSIM receives the lowest weight because its false positive rate from rendering noise is highest.</w:t>
      </w:r>
    </w:p>
    <w:p>
      <w:pPr>
        <w:jc w:val="left"/>
      </w:pPr>
      <w:r>
        <w:rPr>
          <w:b/>
          <w:sz w:val="22"/>
        </w:rPr>
        <w:t xml:space="preserve">Design decision — Why not a learned meta-classifier: </w:t>
      </w:r>
      <w:r>
        <w:rPr>
          <w:i/>
          <w:sz w:val="22"/>
        </w:rPr>
        <w:t>With 15 test labels, training a logistic regression or neural network over the four method outputs as a meta-classifier would overfit. Weighted majority voting with grid-searched weights over the validation set is a principled alternative that generalises better in the small-data regime.</w:t>
      </w:r>
    </w:p>
    <w:p/>
    <w:p>
      <w:pPr>
        <w:jc w:val="both"/>
      </w:pPr>
      <w:r>
        <w:rPr>
          <w:b w:val="0"/>
          <w:i w:val="0"/>
          <w:sz w:val="22"/>
        </w:rPr>
        <w:t>For localisation, bounding boxes from all four methods are unioned and filtered. A region is included in the final report only if at least two methods flag it. This suppresses single-method noise while preserving genuine violation regions. The bounding boxes are overlaid on the rendered label PNG in the output report, one colour per method, so the operator can see both what was flagged and which methods flagged it.</w:t>
      </w:r>
    </w:p>
    <w:p>
      <w:r>
        <w:br w:type="page"/>
      </w:r>
    </w:p>
    <w:p>
      <w:pPr>
        <w:pStyle w:val="Heading1"/>
      </w:pPr>
      <w:r>
        <w:t>Chapter 4: The Four Validation Methods</w:t>
      </w:r>
    </w:p>
    <w:p>
      <w:pPr>
        <w:jc w:val="both"/>
      </w:pPr>
      <w:r>
        <w:rPr>
          <w:b w:val="0"/>
          <w:i w:val="0"/>
          <w:sz w:val="22"/>
        </w:rPr>
        <w:t>This chapter details the implementation, mathematical formulation, and design decisions behind each of the four methods in the Tier 3 ensemble.</w:t>
      </w:r>
    </w:p>
    <w:p>
      <w:pPr>
        <w:pStyle w:val="Heading2"/>
      </w:pPr>
      <w:r>
        <w:t>4.1  Method 1: SSIM Reference Comparison</w:t>
      </w:r>
    </w:p>
    <w:p>
      <w:pPr>
        <w:jc w:val="both"/>
      </w:pPr>
      <w:r>
        <w:rPr>
          <w:b w:val="0"/>
          <w:i w:val="0"/>
          <w:sz w:val="22"/>
        </w:rPr>
        <w:t>SSIM (Wang et al. 2004) computes a perceptual similarity score between two images in local windows, capturing luminance, contrast, and structural differences:</w:t>
      </w:r>
    </w:p>
    <w:p>
      <w:pPr>
        <w:jc w:val="center"/>
      </w:pPr>
      <w:r>
        <w:rPr>
          <w:i/>
          <w:sz w:val="22"/>
        </w:rPr>
        <w:t>SSIM(x,y) = [(2μₓμᵧ + c₁)(2σₓᵧ + c₂)] / [(μₓ² + μᵧ² + c₁)(σₓ² + σᵧ² + c₂)]</w:t>
      </w:r>
    </w:p>
    <w:p>
      <w:pPr>
        <w:jc w:val="right"/>
      </w:pPr>
      <w:r>
        <w:rPr>
          <w:sz w:val="20"/>
        </w:rPr>
        <w:t>(4.1)</w:t>
      </w:r>
    </w:p>
    <w:p>
      <w:pPr>
        <w:jc w:val="both"/>
      </w:pPr>
      <w:r>
        <w:rPr>
          <w:b w:val="0"/>
          <w:i w:val="0"/>
          <w:sz w:val="22"/>
        </w:rPr>
        <w:t>where μₓ, μᵧ are local means, σₓ², σᵧ² are local variances, σₓᵧ is cross-covariance, and c₁=(0.01·255)², c₂=(0.03·255)² are stability constants. SSIM ∈ [-1, 1], with 1 indicating identical images.</w:t>
      </w:r>
    </w:p>
    <w:p>
      <w:pPr>
        <w:jc w:val="both"/>
      </w:pPr>
      <w:r>
        <w:rPr>
          <w:b w:val="0"/>
          <w:i w:val="0"/>
          <w:sz w:val="22"/>
        </w:rPr>
        <w:t>We compute a sliding-window SSIM map with an 11×11 Gaussian-weighted window over the greyscale rendered PNG and its reference baseline. Regions where local SSIM falls below threshold τ = 0.82 are morphologically dilated (5×5 kernel) and converted to bounding boxes via connected-component analysis. A global mean SSIM below τ triggers d_SSIM = 1 (INVALID).</w:t>
      </w:r>
    </w:p>
    <w:p>
      <w:pPr>
        <w:jc w:val="left"/>
      </w:pPr>
      <w:r>
        <w:rPr>
          <w:b/>
          <w:sz w:val="22"/>
        </w:rPr>
        <w:t xml:space="preserve">Design decision — τ = 0.82 is not arbitrary: </w:t>
      </w:r>
      <w:r>
        <w:rPr>
          <w:i/>
          <w:sz w:val="22"/>
        </w:rPr>
        <w:t>The threshold was set by grid search on the validation set (Section 5.1). At τ = 0.70, valid labels with rendering anti-aliasing produce false positives. At τ = 0.90, genuine font-size deviations (V3) are missed. τ = 0.82 is the empirical sweet spot that separates rendering noise from genuine violations on this dataset.</w:t>
      </w:r>
    </w:p>
    <w:p/>
    <w:p>
      <w:pPr>
        <w:jc w:val="both"/>
      </w:pPr>
      <w:r>
        <w:rPr>
          <w:b w:val="0"/>
          <w:i w:val="0"/>
          <w:sz w:val="22"/>
        </w:rPr>
        <w:t>SSIM is the first method applied in the ensemble because it is the fastest (18 ms) and its spatial map directly identifies which image regions differ from the reference, providing good initial bounding-box candidates that the other methods refine.</w:t>
      </w:r>
    </w:p>
    <w:p>
      <w:pPr>
        <w:pStyle w:val="Heading2"/>
      </w:pPr>
      <w:r>
        <w:t>4.2  Method 2: ORB Feature Matching</w:t>
      </w:r>
    </w:p>
    <w:p>
      <w:pPr>
        <w:jc w:val="both"/>
      </w:pPr>
      <w:r>
        <w:rPr>
          <w:b w:val="0"/>
          <w:i w:val="0"/>
          <w:sz w:val="22"/>
        </w:rPr>
        <w:t>ORB (Rublee et al. 2011) combines the FAST corner detector with the BRIEF binary descriptor. Unlike SSIM, which operates on pixel values in local windows, ORB operates on sparse distinctive keypoints — corners, junctions, and high-contrast edges. This makes ORB robust to the sub-pixel rendering differences that cause SSIM false positives on valid labels.</w:t>
      </w:r>
    </w:p>
    <w:p>
      <w:pPr>
        <w:jc w:val="both"/>
      </w:pPr>
      <w:r>
        <w:rPr>
          <w:b w:val="0"/>
          <w:i w:val="0"/>
          <w:sz w:val="22"/>
        </w:rPr>
        <w:t>The matching pipeline extracts up to 1,000 keypoints per image, computes 256-bit BRIEF descriptors, matches using Hamming-distance brute-force, filters with Lowe's ratio test at threshold 0.75, then estimates a homography using RANSAC. The inlier ratio r_in = RANSAC inliers / total matches after ratio test determines validity:</w:t>
      </w:r>
    </w:p>
    <w:p>
      <w:pPr>
        <w:jc w:val="center"/>
      </w:pPr>
      <w:r>
        <w:rPr>
          <w:i/>
          <w:sz w:val="22"/>
        </w:rPr>
        <w:t>d_ORB = 1 (INVALID)   if   r_in &lt; 0.60,   else   0 (VALID)</w:t>
      </w:r>
    </w:p>
    <w:p>
      <w:pPr>
        <w:jc w:val="right"/>
      </w:pPr>
      <w:r>
        <w:rPr>
          <w:sz w:val="20"/>
        </w:rPr>
        <w:t>(4.2)</w:t>
      </w:r>
    </w:p>
    <w:p>
      <w:pPr>
        <w:jc w:val="both"/>
      </w:pPr>
      <w:r>
        <w:rPr>
          <w:b w:val="0"/>
          <w:i w:val="0"/>
          <w:sz w:val="22"/>
        </w:rPr>
        <w:t>ORB specifically addresses the V1 (element displacement) violation type: when a text field shifts by more than 5 mm, the keypoints within it no longer match their corresponding reference locations, reducing r_in. SSIM also detects V1, but ORB is more specific — it identifies which keypoints are mismatched and therefore provides better spatial localisation for displacement violations.</w:t>
      </w:r>
    </w:p>
    <w:p>
      <w:pPr>
        <w:jc w:val="left"/>
      </w:pPr>
      <w:r>
        <w:rPr>
          <w:b/>
          <w:sz w:val="22"/>
        </w:rPr>
        <w:t xml:space="preserve">Design decision — r_in threshold of 0.60: </w:t>
      </w:r>
      <w:r>
        <w:rPr>
          <w:i/>
          <w:sz w:val="22"/>
        </w:rPr>
        <w:t>Below this threshold, fewer than 60% of matched keypoints agree on a common geometric transformation. For a valid label with minor rendering differences, r_in is typically above 0.85. For a label with a displaced element, r_in drops to 0.40–0.55. The gap is large enough that 0.60 provides clean separation without requiring fine-tuning.</w:t>
      </w:r>
    </w:p>
    <w:p/>
    <w:p>
      <w:pPr>
        <w:jc w:val="both"/>
      </w:pPr>
      <w:r>
        <w:rPr>
          <w:b w:val="0"/>
          <w:i w:val="0"/>
          <w:sz w:val="22"/>
        </w:rPr>
        <w:t>One limitation of ORB is that uniform label regions — large white zones, solid colour backgrounds — generate very few keypoints, so r_in becomes unstable when computed from a small number of matches. This is why ORB is not used as the sole decision-maker: the ResNet-50 and Siamese methods handle these cases.</w:t>
      </w:r>
    </w:p>
    <w:p>
      <w:pPr>
        <w:pStyle w:val="Heading2"/>
      </w:pPr>
      <w:r>
        <w:t>4.3  Method 3: ResNet-50 Fine-Tuned Binary Classifier</w:t>
      </w:r>
    </w:p>
    <w:p>
      <w:pPr>
        <w:pStyle w:val="Heading3"/>
      </w:pPr>
      <w:r>
        <w:t>4.3.1  Why ResNet-50 Specifically</w:t>
      </w:r>
    </w:p>
    <w:p>
      <w:pPr>
        <w:jc w:val="both"/>
      </w:pPr>
      <w:r>
        <w:rPr>
          <w:b w:val="0"/>
          <w:i w:val="0"/>
          <w:sz w:val="22"/>
        </w:rPr>
        <w:t>Several CNN architectures were considered: VGG-16, MobileNetV2, EfficientNet-B0, and ResNet-50. VGG-16 has no residual connections and is harder to fine-tune on small datasets. MobileNetV2 is optimised for mobile inference and sacrifices accuracy for speed — not a useful tradeoff when inference runs server-side in under 100 ms anyway. EfficientNet-B0 is competitive with ResNet-50 but less well-documented for fine-tuning in this type of industrial domain. ResNet-50 is the documented standard backbone for document image analysis [1, 3] and has a well-understood fine-tuning protocol.</w:t>
      </w:r>
    </w:p>
    <w:p>
      <w:pPr>
        <w:jc w:val="left"/>
      </w:pPr>
      <w:r>
        <w:rPr>
          <w:b/>
          <w:sz w:val="22"/>
        </w:rPr>
        <w:t xml:space="preserve">Design decision — ResNet-50 over LayoutLM or ViT: </w:t>
      </w:r>
      <w:r>
        <w:rPr>
          <w:i/>
          <w:sz w:val="22"/>
        </w:rPr>
        <w:t>LayoutLM and its successors [17, 18] are designed for joint text-layout-image understanding on richly annotated documents. Our task does not require text extraction — we compare pixel-level visual structure, not semantic content. LayoutLM would add significant complexity (OCR pipeline, bounding-box token inputs) for no benefit on a purely visual comparison task. ResNet-50 applied to the full rendered PNG is simpler, faster, and appropriate.</w:t>
      </w:r>
    </w:p>
    <w:p/>
    <w:p>
      <w:pPr>
        <w:pStyle w:val="Heading3"/>
      </w:pPr>
      <w:r>
        <w:t>4.3.2  Architecture Modification</w:t>
      </w:r>
    </w:p>
    <w:p>
      <w:pPr>
        <w:jc w:val="both"/>
      </w:pPr>
      <w:r>
        <w:rPr>
          <w:b w:val="0"/>
          <w:i w:val="0"/>
          <w:sz w:val="22"/>
        </w:rPr>
        <w:t>The original 1,000-class ImageNet softmax head is replaced with a binary classification head: two fully connected layers (FC 2048→512 with ReLU, then FC 512→1 with sigmoid) applied to the global average-pooled (GAP) feature vector from conv5_x:</w:t>
      </w:r>
    </w:p>
    <w:p>
      <w:pPr>
        <w:jc w:val="center"/>
      </w:pPr>
      <w:r>
        <w:rPr>
          <w:i/>
          <w:sz w:val="22"/>
        </w:rPr>
        <w:t>ŷ = σ( W₂ · ReLU(W₁ · z + b₁) + b₂ ),   z ∈ ℝ²⁰⁴⁸</w:t>
      </w:r>
    </w:p>
    <w:p>
      <w:pPr>
        <w:jc w:val="right"/>
      </w:pPr>
      <w:r>
        <w:rPr>
          <w:sz w:val="20"/>
        </w:rPr>
        <w:t>(4.3)</w:t>
      </w:r>
    </w:p>
    <w:p>
      <w:pPr>
        <w:jc w:val="both"/>
      </w:pPr>
      <w:r>
        <w:rPr>
          <w:b w:val="0"/>
          <w:i w:val="0"/>
          <w:sz w:val="22"/>
        </w:rPr>
        <w:t>The two-layer head is a deliberate choice over a single linear layer: the intermediate 512-dimensional representation provides capacity to learn the label-specific decision boundary without the head dominating the gradient signal during early fine-tuning.</w:t>
      </w:r>
    </w:p>
    <w:p>
      <w:pPr>
        <w:pStyle w:val="Heading3"/>
      </w:pPr>
      <w:r>
        <w:t>4.3.3  Fine-Tuning Protocol</w:t>
      </w:r>
    </w:p>
    <w:p>
      <w:pPr>
        <w:jc w:val="center"/>
      </w:pPr>
      <w:r>
        <w:rPr>
          <w:b/>
          <w:sz w:val="20"/>
        </w:rPr>
        <w:t>Table 4.1: Two-phase fine-tuning protocol.</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Phase</w:t>
            </w:r>
          </w:p>
        </w:tc>
        <w:tc>
          <w:tcPr>
            <w:tcW w:type="dxa" w:w="1520"/>
          </w:tcPr>
          <w:p>
            <w:r>
              <w:rPr>
                <w:b/>
                <w:sz w:val="20"/>
              </w:rPr>
              <w:t>Epochs</w:t>
            </w:r>
          </w:p>
        </w:tc>
        <w:tc>
          <w:tcPr>
            <w:tcW w:type="dxa" w:w="1520"/>
          </w:tcPr>
          <w:p>
            <w:r>
              <w:rPr>
                <w:b/>
                <w:sz w:val="20"/>
              </w:rPr>
              <w:t>Backbone</w:t>
            </w:r>
          </w:p>
        </w:tc>
        <w:tc>
          <w:tcPr>
            <w:tcW w:type="dxa" w:w="1520"/>
          </w:tcPr>
          <w:p>
            <w:r>
              <w:rPr>
                <w:b/>
                <w:sz w:val="20"/>
              </w:rPr>
              <w:t>Head LR</w:t>
            </w:r>
          </w:p>
        </w:tc>
        <w:tc>
          <w:tcPr>
            <w:tcW w:type="dxa" w:w="1520"/>
          </w:tcPr>
          <w:p>
            <w:r>
              <w:rPr>
                <w:b/>
                <w:sz w:val="20"/>
              </w:rPr>
              <w:t>Backbone LR</w:t>
            </w:r>
          </w:p>
        </w:tc>
        <w:tc>
          <w:tcPr>
            <w:tcW w:type="dxa" w:w="1520"/>
          </w:tcPr>
          <w:p>
            <w:r>
              <w:rPr>
                <w:b/>
                <w:sz w:val="20"/>
              </w:rPr>
              <w:t>Purpose</w:t>
            </w:r>
          </w:p>
        </w:tc>
      </w:tr>
      <w:tr>
        <w:tc>
          <w:tcPr>
            <w:tcW w:type="dxa" w:w="1520"/>
          </w:tcPr>
          <w:p>
            <w:r>
              <w:rPr>
                <w:sz w:val="20"/>
              </w:rPr>
              <w:t>Warm-up</w:t>
            </w:r>
          </w:p>
        </w:tc>
        <w:tc>
          <w:tcPr>
            <w:tcW w:type="dxa" w:w="1520"/>
          </w:tcPr>
          <w:p>
            <w:r>
              <w:rPr>
                <w:sz w:val="20"/>
              </w:rPr>
              <w:t>1–5</w:t>
            </w:r>
          </w:p>
        </w:tc>
        <w:tc>
          <w:tcPr>
            <w:tcW w:type="dxa" w:w="1520"/>
          </w:tcPr>
          <w:p>
            <w:r>
              <w:rPr>
                <w:sz w:val="20"/>
              </w:rPr>
              <w:t>Frozen</w:t>
            </w:r>
          </w:p>
        </w:tc>
        <w:tc>
          <w:tcPr>
            <w:tcW w:type="dxa" w:w="1520"/>
          </w:tcPr>
          <w:p>
            <w:r>
              <w:rPr>
                <w:sz w:val="20"/>
              </w:rPr>
              <w:t>1e-3</w:t>
            </w:r>
          </w:p>
        </w:tc>
        <w:tc>
          <w:tcPr>
            <w:tcW w:type="dxa" w:w="1520"/>
          </w:tcPr>
          <w:p>
            <w:r>
              <w:rPr>
                <w:sz w:val="20"/>
              </w:rPr>
              <w:t>—</w:t>
            </w:r>
          </w:p>
        </w:tc>
        <w:tc>
          <w:tcPr>
            <w:tcW w:type="dxa" w:w="1520"/>
          </w:tcPr>
          <w:p>
            <w:r>
              <w:rPr>
                <w:sz w:val="20"/>
              </w:rPr>
              <w:t>Stabilise head before backbone unfreezes</w:t>
            </w:r>
          </w:p>
        </w:tc>
      </w:tr>
      <w:tr>
        <w:tc>
          <w:tcPr>
            <w:tcW w:type="dxa" w:w="1520"/>
          </w:tcPr>
          <w:p>
            <w:r>
              <w:rPr>
                <w:sz w:val="20"/>
              </w:rPr>
              <w:t>Full fine-tune</w:t>
            </w:r>
          </w:p>
        </w:tc>
        <w:tc>
          <w:tcPr>
            <w:tcW w:type="dxa" w:w="1520"/>
          </w:tcPr>
          <w:p>
            <w:r>
              <w:rPr>
                <w:sz w:val="20"/>
              </w:rPr>
              <w:t>6–50</w:t>
            </w:r>
          </w:p>
        </w:tc>
        <w:tc>
          <w:tcPr>
            <w:tcW w:type="dxa" w:w="1520"/>
          </w:tcPr>
          <w:p>
            <w:r>
              <w:rPr>
                <w:sz w:val="20"/>
              </w:rPr>
              <w:t>Unfrozen</w:t>
            </w:r>
          </w:p>
        </w:tc>
        <w:tc>
          <w:tcPr>
            <w:tcW w:type="dxa" w:w="1520"/>
          </w:tcPr>
          <w:p>
            <w:r>
              <w:rPr>
                <w:sz w:val="20"/>
              </w:rPr>
              <w:t>1e-3</w:t>
            </w:r>
          </w:p>
        </w:tc>
        <w:tc>
          <w:tcPr>
            <w:tcW w:type="dxa" w:w="1520"/>
          </w:tcPr>
          <w:p>
            <w:r>
              <w:rPr>
                <w:sz w:val="20"/>
              </w:rPr>
              <w:t>1e-4</w:t>
            </w:r>
          </w:p>
        </w:tc>
        <w:tc>
          <w:tcPr>
            <w:tcW w:type="dxa" w:w="1520"/>
          </w:tcPr>
          <w:p>
            <w:r>
              <w:rPr>
                <w:sz w:val="20"/>
              </w:rPr>
              <w:t>End-to-end adaptation to label images</w:t>
            </w:r>
          </w:p>
        </w:tc>
      </w:tr>
    </w:tbl>
    <w:p/>
    <w:p>
      <w:pPr>
        <w:jc w:val="both"/>
      </w:pPr>
      <w:r>
        <w:rPr>
          <w:b w:val="0"/>
          <w:i w:val="0"/>
          <w:sz w:val="22"/>
        </w:rPr>
        <w:t>The 10× lower backbone learning rate prevents catastrophic forgetting of ImageNet features while allowing the backbone to adapt to label image statistics. Adam optimiser (β₁=0.9, β₂=0.999) with cosine learning rate annealing (T_max=50) and early stopping (patience=8) on validation loss.</w:t>
      </w:r>
    </w:p>
    <w:p>
      <w:pPr>
        <w:jc w:val="both"/>
      </w:pPr>
      <w:r>
        <w:rPr>
          <w:b w:val="0"/>
          <w:i w:val="0"/>
          <w:sz w:val="22"/>
        </w:rPr>
        <w:t>Class-balanced binary cross-entropy loss accounts for the mild class imbalance (82 valid, 68 invalid): w_valid = 68/150 = 0.453, w_invalid = 82/150 = 0.547, normalised to w_valid = 0.83, w_invalid = 1.00.</w:t>
      </w:r>
    </w:p>
    <w:p>
      <w:pPr>
        <w:pStyle w:val="Heading3"/>
      </w:pPr>
      <w:r>
        <w:t>4.3.4  Grad-CAM Localisation</w:t>
      </w:r>
    </w:p>
    <w:p>
      <w:pPr>
        <w:jc w:val="both"/>
      </w:pPr>
      <w:r>
        <w:rPr>
          <w:b w:val="0"/>
          <w:i w:val="0"/>
          <w:sz w:val="22"/>
        </w:rPr>
        <w:t>When the ResNet-50 predicts INVALID, Grad-CAM (Selvaraju et al. 2017) is applied to the last convolutional layer (conv5_3) to produce a spatial activation map explaining which image regions drove the classification decision:</w:t>
      </w:r>
    </w:p>
    <w:p>
      <w:pPr>
        <w:jc w:val="center"/>
      </w:pPr>
      <w:r>
        <w:rPr>
          <w:i/>
          <w:sz w:val="22"/>
        </w:rPr>
        <w:t>αₖ = (1/Z) · Σᵢⱼ (∂ŷ / ∂Aᵢⱼᵏ)       [channel importance weight for feature map k]</w:t>
      </w:r>
    </w:p>
    <w:p>
      <w:pPr>
        <w:jc w:val="right"/>
      </w:pPr>
      <w:r>
        <w:rPr>
          <w:sz w:val="20"/>
        </w:rPr>
        <w:t>(4.4a)</w:t>
      </w:r>
    </w:p>
    <w:p>
      <w:pPr>
        <w:jc w:val="center"/>
      </w:pPr>
      <w:r>
        <w:rPr>
          <w:i/>
          <w:sz w:val="22"/>
        </w:rPr>
        <w:t>L_GradCAM = ReLU( Σₖ αₖ · Aᵏ )       [spatial heatmap]</w:t>
      </w:r>
    </w:p>
    <w:p>
      <w:pPr>
        <w:jc w:val="right"/>
      </w:pPr>
      <w:r>
        <w:rPr>
          <w:sz w:val="20"/>
        </w:rPr>
        <w:t>(4.4b)</w:t>
      </w:r>
    </w:p>
    <w:p>
      <w:pPr>
        <w:jc w:val="both"/>
      </w:pPr>
      <w:r>
        <w:rPr>
          <w:b w:val="0"/>
          <w:i w:val="0"/>
          <w:sz w:val="22"/>
        </w:rPr>
        <w:t>The heatmap is upsampled to 300 DPI resolution using bilinear interpolation, normalised to [0,1], and thresholded at the 90th percentile to produce a binary mask. Connected components of the mask are converted to bounding boxes.</w:t>
      </w:r>
    </w:p>
    <w:p>
      <w:pPr>
        <w:jc w:val="both"/>
      </w:pPr>
      <w:r>
        <w:rPr>
          <w:b w:val="0"/>
          <w:i w:val="0"/>
          <w:sz w:val="22"/>
        </w:rPr>
        <w:t>Grad-CAM is the only localisation method applied to the ResNet-50 output. SSIM and ORB produce their own bounding boxes from their spatial outputs directly. The Siamese network does not produce bounding boxes — it is a global similarity scorer only.</w:t>
      </w:r>
    </w:p>
    <w:p>
      <w:pPr>
        <w:pStyle w:val="Heading2"/>
      </w:pPr>
      <w:r>
        <w:t>4.4  Method 4: Siamese Network with Contrastive Loss</w:t>
      </w:r>
    </w:p>
    <w:p>
      <w:pPr>
        <w:pStyle w:val="Heading3"/>
      </w:pPr>
      <w:r>
        <w:t>4.4.1  Why a Siamese Network Alongside ResNet-50</w:t>
      </w:r>
    </w:p>
    <w:p>
      <w:pPr>
        <w:jc w:val="both"/>
      </w:pPr>
      <w:r>
        <w:rPr>
          <w:b w:val="0"/>
          <w:i w:val="0"/>
          <w:sz w:val="22"/>
        </w:rPr>
        <w:t>The ResNet-50 classifier learns to predict INVALID from a single image. It never sees the reference baseline at inference time — the reference is implicit in the training data. This works well for systematic violations (a standard font-size deviation pattern), but can fail for template-type-specific violations that look different across the 20 template types.</w:t>
      </w:r>
    </w:p>
    <w:p>
      <w:pPr>
        <w:jc w:val="both"/>
      </w:pPr>
      <w:r>
        <w:rPr>
          <w:b w:val="0"/>
          <w:i w:val="0"/>
          <w:sz w:val="22"/>
        </w:rPr>
        <w:t>The Siamese network is fundamentally different: it always sees both the generated label and its reference baseline simultaneously, computing a similarity score for this specific pair. This makes it sensitive to template-type-specific layout requirements without requiring per-template-type training — the shared-weight encoder learns a general label similarity function, and the reference baseline provides the type-specific context at inference time.</w:t>
      </w:r>
    </w:p>
    <w:p>
      <w:pPr>
        <w:jc w:val="left"/>
      </w:pPr>
      <w:r>
        <w:rPr>
          <w:b/>
          <w:sz w:val="22"/>
        </w:rPr>
        <w:t xml:space="preserve">Design decision — Siamese as the pairwise complement to ResNet-50: </w:t>
      </w:r>
      <w:r>
        <w:rPr>
          <w:i/>
          <w:sz w:val="22"/>
        </w:rPr>
        <w:t>ResNet-50 and Siamese are designed to make uncorrelated errors: ResNet-50 makes errors when a violation is novel relative to training distribution; Siamese makes errors when a violation is too subtle for the relation module to score below 0.5. In practice, on the test set, ResNet-50 and Siamese make the same INVALID predictions for 6 of 7 invalid labels, but their score distributions differ, which is why their combination in the ensemble is still beneficial.</w:t>
      </w:r>
    </w:p>
    <w:p/>
    <w:p>
      <w:pPr>
        <w:pStyle w:val="Heading3"/>
      </w:pPr>
      <w:r>
        <w:t>4.4.2  Architecture</w:t>
      </w:r>
    </w:p>
    <w:p>
      <w:pPr>
        <w:jc w:val="both"/>
      </w:pPr>
      <w:r>
        <w:rPr>
          <w:b w:val="0"/>
          <w:i w:val="0"/>
          <w:sz w:val="22"/>
        </w:rPr>
        <w:t>Two ResNet-18 sub-networks with shared weights encode the generated label and the reference baseline independently into 512-dimensional embeddings:</w:t>
      </w:r>
    </w:p>
    <w:p>
      <w:pPr>
        <w:jc w:val="center"/>
      </w:pPr>
      <w:r>
        <w:rPr>
          <w:i/>
          <w:sz w:val="22"/>
        </w:rPr>
        <w:t>z_gen = φ(x_gen),   z_ref = φ(x_ref),   φ = ResNet18,   z ∈ ℝ⁵¹²</w:t>
      </w:r>
    </w:p>
    <w:p>
      <w:pPr>
        <w:jc w:val="right"/>
      </w:pPr>
      <w:r>
        <w:rPr>
          <w:sz w:val="20"/>
        </w:rPr>
        <w:t>(4.5)</w:t>
      </w:r>
    </w:p>
    <w:p>
      <w:pPr>
        <w:jc w:val="both"/>
      </w:pPr>
      <w:r>
        <w:rPr>
          <w:b w:val="0"/>
          <w:i w:val="0"/>
          <w:sz w:val="22"/>
        </w:rPr>
        <w:t>The two embeddings are concatenated and passed to a relation module:</w:t>
      </w:r>
    </w:p>
    <w:p>
      <w:pPr>
        <w:jc w:val="center"/>
      </w:pPr>
      <w:r>
        <w:rPr>
          <w:i/>
          <w:sz w:val="22"/>
        </w:rPr>
        <w:t>s = σ( MLP([z_gen ‖ z_ref]) ),   MLP: ℝ¹⁰²⁴ → ℝ²⁵⁶ → ℝ¹</w:t>
      </w:r>
    </w:p>
    <w:p>
      <w:pPr>
        <w:jc w:val="right"/>
      </w:pPr>
      <w:r>
        <w:rPr>
          <w:sz w:val="20"/>
        </w:rPr>
        <w:t>(4.6)</w:t>
      </w:r>
    </w:p>
    <w:p>
      <w:pPr>
        <w:jc w:val="both"/>
      </w:pPr>
      <w:r>
        <w:rPr>
          <w:b w:val="0"/>
          <w:i w:val="0"/>
          <w:sz w:val="22"/>
        </w:rPr>
        <w:t>s ∈ [0,1] is the similarity score. d_Siamese = 1 (INVALID) if s &lt; 0.5.</w:t>
      </w:r>
    </w:p>
    <w:p>
      <w:pPr>
        <w:jc w:val="both"/>
      </w:pPr>
      <w:r>
        <w:rPr>
          <w:b w:val="0"/>
          <w:i w:val="0"/>
          <w:sz w:val="22"/>
        </w:rPr>
        <w:t>ResNet-18 (rather than ResNet-50) is used as the Siamese encoder because the input to the relation module is already a concatenation of two embeddings — the relation module must process 1,024 dimensions. Using ResNet-50 (2,048-D embeddings) would produce a 4,096-D relation module input, which would be harder to train reliably with the small dataset.</w:t>
      </w:r>
    </w:p>
    <w:p>
      <w:pPr>
        <w:pStyle w:val="Heading3"/>
      </w:pPr>
      <w:r>
        <w:t>4.4.3  Contrastive Training</w:t>
      </w:r>
    </w:p>
    <w:p>
      <w:pPr>
        <w:jc w:val="both"/>
      </w:pPr>
      <w:r>
        <w:rPr>
          <w:b w:val="0"/>
          <w:i w:val="0"/>
          <w:sz w:val="22"/>
        </w:rPr>
        <w:t>Training uses contrastive loss on (generated label, reference, label) triples. For a pair with embeddings z_i, z_j and distance D_ij = ‖z_i − z_j‖₂:</w:t>
      </w:r>
    </w:p>
    <w:p>
      <w:pPr>
        <w:jc w:val="center"/>
      </w:pPr>
      <w:r>
        <w:rPr>
          <w:i/>
          <w:sz w:val="22"/>
        </w:rPr>
        <w:t>L_cont = (1/2N) · Σᵢ [ yᵢⱼ·Dᵢⱼ² + (1−yᵢⱼ)·max(m − Dᵢⱼ, 0)² ],   m=1.0</w:t>
      </w:r>
    </w:p>
    <w:p>
      <w:pPr>
        <w:jc w:val="right"/>
      </w:pPr>
      <w:r>
        <w:rPr>
          <w:sz w:val="20"/>
        </w:rPr>
        <w:t>(4.7)</w:t>
      </w:r>
    </w:p>
    <w:p>
      <w:pPr>
        <w:jc w:val="both"/>
      </w:pPr>
      <w:r>
        <w:rPr>
          <w:b w:val="0"/>
          <w:i w:val="0"/>
          <w:sz w:val="22"/>
        </w:rPr>
        <w:t>y_ij = 1 for same-class pairs (both valid or both invalid), 0 for cross-class pairs. The margin m = 1.0 ensures that different-class pairs in embedding space are separated by at least 1.0 in L2 distance.</w:t>
      </w:r>
    </w:p>
    <w:p>
      <w:pPr>
        <w:jc w:val="both"/>
      </w:pPr>
      <w:r>
        <w:rPr>
          <w:b w:val="0"/>
          <w:i w:val="0"/>
          <w:sz w:val="22"/>
        </w:rPr>
        <w:t>Online pair mining: for each anchor in a batch, 3 positive pairs and 3 negative pairs are sampled. With batch size 2 anchors, each forward pass processes 12 pairs. This produces balanced training without pre-computing an exponentially large set of all possible pairs.</w:t>
      </w:r>
    </w:p>
    <w:p>
      <w:pPr>
        <w:jc w:val="center"/>
      </w:pPr>
      <w:r>
        <w:rPr>
          <w:b/>
          <w:sz w:val="20"/>
        </w:rPr>
        <w:t>Table 4.2: Siamese network training configuration.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Hyperparameter</w:t>
            </w:r>
          </w:p>
        </w:tc>
        <w:tc>
          <w:tcPr>
            <w:tcW w:type="dxa" w:w="3041"/>
          </w:tcPr>
          <w:p>
            <w:r>
              <w:rPr>
                <w:b/>
                <w:sz w:val="20"/>
              </w:rPr>
              <w:t>Value</w:t>
            </w:r>
          </w:p>
        </w:tc>
        <w:tc>
          <w:tcPr>
            <w:tcW w:type="dxa" w:w="3041"/>
          </w:tcPr>
          <w:p>
            <w:r>
              <w:rPr>
                <w:b/>
                <w:sz w:val="20"/>
              </w:rPr>
              <w:t>Rationale</w:t>
            </w:r>
          </w:p>
        </w:tc>
      </w:tr>
      <w:tr>
        <w:tc>
          <w:tcPr>
            <w:tcW w:type="dxa" w:w="3041"/>
          </w:tcPr>
          <w:p>
            <w:r>
              <w:rPr>
                <w:sz w:val="20"/>
              </w:rPr>
              <w:t>Backbone</w:t>
            </w:r>
          </w:p>
        </w:tc>
        <w:tc>
          <w:tcPr>
            <w:tcW w:type="dxa" w:w="3041"/>
          </w:tcPr>
          <w:p>
            <w:r>
              <w:rPr>
                <w:sz w:val="20"/>
              </w:rPr>
              <w:t>ResNet-18, ImageNet pre-trained</w:t>
            </w:r>
          </w:p>
        </w:tc>
        <w:tc>
          <w:tcPr>
            <w:tcW w:type="dxa" w:w="3041"/>
          </w:tcPr>
          <w:p>
            <w:r>
              <w:rPr>
                <w:sz w:val="20"/>
              </w:rPr>
              <w:t>Smaller than ResNet-50 to match smaller relation module</w:t>
            </w:r>
          </w:p>
        </w:tc>
      </w:tr>
      <w:tr>
        <w:tc>
          <w:tcPr>
            <w:tcW w:type="dxa" w:w="3041"/>
          </w:tcPr>
          <w:p>
            <w:r>
              <w:rPr>
                <w:sz w:val="20"/>
              </w:rPr>
              <w:t>Relation MLP</w:t>
            </w:r>
          </w:p>
        </w:tc>
        <w:tc>
          <w:tcPr>
            <w:tcW w:type="dxa" w:w="3041"/>
          </w:tcPr>
          <w:p>
            <w:r>
              <w:rPr>
                <w:sz w:val="20"/>
              </w:rPr>
              <w:t>1024→256→1</w:t>
            </w:r>
          </w:p>
        </w:tc>
        <w:tc>
          <w:tcPr>
            <w:tcW w:type="dxa" w:w="3041"/>
          </w:tcPr>
          <w:p>
            <w:r>
              <w:rPr>
                <w:sz w:val="20"/>
              </w:rPr>
              <w:t>Two-layer provides more capacity than linear distance</w:t>
            </w:r>
          </w:p>
        </w:tc>
      </w:tr>
      <w:tr>
        <w:tc>
          <w:tcPr>
            <w:tcW w:type="dxa" w:w="3041"/>
          </w:tcPr>
          <w:p>
            <w:r>
              <w:rPr>
                <w:sz w:val="20"/>
              </w:rPr>
              <w:t>Optimiser</w:t>
            </w:r>
          </w:p>
        </w:tc>
        <w:tc>
          <w:tcPr>
            <w:tcW w:type="dxa" w:w="3041"/>
          </w:tcPr>
          <w:p>
            <w:r>
              <w:rPr>
                <w:sz w:val="20"/>
              </w:rPr>
              <w:t>Adam (β₁=0.9, β₂=0.999)</w:t>
            </w:r>
          </w:p>
        </w:tc>
        <w:tc>
          <w:tcPr>
            <w:tcW w:type="dxa" w:w="3041"/>
          </w:tcPr>
          <w:p>
            <w:r>
              <w:rPr>
                <w:sz w:val="20"/>
              </w:rPr>
              <w:t>Standard for metric learning</w:t>
            </w:r>
          </w:p>
        </w:tc>
      </w:tr>
      <w:tr>
        <w:tc>
          <w:tcPr>
            <w:tcW w:type="dxa" w:w="3041"/>
          </w:tcPr>
          <w:p>
            <w:r>
              <w:rPr>
                <w:sz w:val="20"/>
              </w:rPr>
              <w:t>Learning rate</w:t>
            </w:r>
          </w:p>
        </w:tc>
        <w:tc>
          <w:tcPr>
            <w:tcW w:type="dxa" w:w="3041"/>
          </w:tcPr>
          <w:p>
            <w:r>
              <w:rPr>
                <w:sz w:val="20"/>
              </w:rPr>
              <w:t>5e-5</w:t>
            </w:r>
          </w:p>
        </w:tc>
        <w:tc>
          <w:tcPr>
            <w:tcW w:type="dxa" w:w="3041"/>
          </w:tcPr>
          <w:p>
            <w:r>
              <w:rPr>
                <w:sz w:val="20"/>
              </w:rPr>
              <w:t>Lower than ResNet-50 — contrastive loss is harder to optimise</w:t>
            </w:r>
          </w:p>
        </w:tc>
      </w:tr>
      <w:tr>
        <w:tc>
          <w:tcPr>
            <w:tcW w:type="dxa" w:w="3041"/>
          </w:tcPr>
          <w:p>
            <w:r>
              <w:rPr>
                <w:sz w:val="20"/>
              </w:rPr>
              <w:t>Margin m</w:t>
            </w:r>
          </w:p>
        </w:tc>
        <w:tc>
          <w:tcPr>
            <w:tcW w:type="dxa" w:w="3041"/>
          </w:tcPr>
          <w:p>
            <w:r>
              <w:rPr>
                <w:sz w:val="20"/>
              </w:rPr>
              <w:t>1.0</w:t>
            </w:r>
          </w:p>
        </w:tc>
        <w:tc>
          <w:tcPr>
            <w:tcW w:type="dxa" w:w="3041"/>
          </w:tcPr>
          <w:p>
            <w:r>
              <w:rPr>
                <w:sz w:val="20"/>
              </w:rPr>
              <w:t>Standard for unit-normalised embeddings</w:t>
            </w:r>
          </w:p>
        </w:tc>
      </w:tr>
      <w:tr>
        <w:tc>
          <w:tcPr>
            <w:tcW w:type="dxa" w:w="3041"/>
          </w:tcPr>
          <w:p>
            <w:r>
              <w:rPr>
                <w:sz w:val="20"/>
              </w:rPr>
              <w:t>Pair sampling</w:t>
            </w:r>
          </w:p>
        </w:tc>
        <w:tc>
          <w:tcPr>
            <w:tcW w:type="dxa" w:w="3041"/>
          </w:tcPr>
          <w:p>
            <w:r>
              <w:rPr>
                <w:sz w:val="20"/>
              </w:rPr>
              <w:t>3 pos + 3 neg per anchor</w:t>
            </w:r>
          </w:p>
        </w:tc>
        <w:tc>
          <w:tcPr>
            <w:tcW w:type="dxa" w:w="3041"/>
          </w:tcPr>
          <w:p>
            <w:r>
              <w:rPr>
                <w:sz w:val="20"/>
              </w:rPr>
              <w:t>Balanced without pre-mining</w:t>
            </w:r>
          </w:p>
        </w:tc>
      </w:tr>
      <w:tr>
        <w:tc>
          <w:tcPr>
            <w:tcW w:type="dxa" w:w="3041"/>
          </w:tcPr>
          <w:p>
            <w:r>
              <w:rPr>
                <w:sz w:val="20"/>
              </w:rPr>
              <w:t>Batch size</w:t>
            </w:r>
          </w:p>
        </w:tc>
        <w:tc>
          <w:tcPr>
            <w:tcW w:type="dxa" w:w="3041"/>
          </w:tcPr>
          <w:p>
            <w:r>
              <w:rPr>
                <w:sz w:val="20"/>
              </w:rPr>
              <w:t>12 pairs</w:t>
            </w:r>
          </w:p>
        </w:tc>
        <w:tc>
          <w:tcPr>
            <w:tcW w:type="dxa" w:w="3041"/>
          </w:tcPr>
          <w:p>
            <w:r>
              <w:rPr>
                <w:sz w:val="20"/>
              </w:rPr>
              <w:t>2 anchors × 6 pairs each</w:t>
            </w:r>
          </w:p>
        </w:tc>
      </w:tr>
      <w:tr>
        <w:tc>
          <w:tcPr>
            <w:tcW w:type="dxa" w:w="3041"/>
          </w:tcPr>
          <w:p>
            <w:r>
              <w:rPr>
                <w:sz w:val="20"/>
              </w:rPr>
              <w:t>Early stopping</w:t>
            </w:r>
          </w:p>
        </w:tc>
        <w:tc>
          <w:tcPr>
            <w:tcW w:type="dxa" w:w="3041"/>
          </w:tcPr>
          <w:p>
            <w:r>
              <w:rPr>
                <w:sz w:val="20"/>
              </w:rPr>
              <w:t>Patience = 6 epochs</w:t>
            </w:r>
          </w:p>
        </w:tc>
        <w:tc>
          <w:tcPr>
            <w:tcW w:type="dxa" w:w="3041"/>
          </w:tcPr>
          <w:p>
            <w:r>
              <w:rPr>
                <w:sz w:val="20"/>
              </w:rPr>
              <w:t>Contrastive training is noisier; shorter patience</w:t>
            </w:r>
          </w:p>
        </w:tc>
      </w:tr>
    </w:tbl>
    <w:p/>
    <w:p>
      <w:r>
        <w:br w:type="page"/>
      </w:r>
    </w:p>
    <w:p>
      <w:pPr>
        <w:pStyle w:val="Heading1"/>
      </w:pPr>
      <w:r>
        <w:t>Chapter 5: Dataset and Experimental Setup</w:t>
      </w:r>
    </w:p>
    <w:p>
      <w:pPr>
        <w:pStyle w:val="Heading2"/>
      </w:pPr>
      <w:r>
        <w:t>5.1  Dataset Construction</w:t>
      </w:r>
    </w:p>
    <w:p>
      <w:pPr>
        <w:jc w:val="both"/>
      </w:pPr>
      <w:r>
        <w:rPr>
          <w:b w:val="0"/>
          <w:i w:val="0"/>
          <w:sz w:val="22"/>
        </w:rPr>
        <w:t>The dataset was constructed from IKEA of Sweden's label production workflow. Valid samples are real production-approved label renders; invalid samples are synthetically generated by a scripted violation engine applied to valid templates.</w:t>
      </w:r>
    </w:p>
    <w:p>
      <w:pPr>
        <w:jc w:val="both"/>
      </w:pPr>
      <w:r>
        <w:rPr>
          <w:b w:val="0"/>
          <w:i w:val="0"/>
          <w:sz w:val="22"/>
        </w:rPr>
        <w:t>The decision to use synthetic violations rather than archived real violations is not a limitation but a reflection of the production environment: QA testers correct invalid labels immediately upon detection, and the corrected label is the only version stored. Building a dataset of real violations would require instrumenting the QA process to archive pre-correction images — a change to production practice that was outside the scope of this project. The synthetic violation engine was designed in collaboration with the IKEA QA team to replicate the seven violation types they encounter most frequently.</w:t>
      </w:r>
    </w:p>
    <w:p>
      <w:pPr>
        <w:jc w:val="center"/>
      </w:pPr>
      <w:r>
        <w:rPr>
          <w:b/>
          <w:sz w:val="20"/>
        </w:rPr>
        <w:t>Table 5.1: Synthetic violation injection method and count per type.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Violation ID</w:t>
            </w:r>
          </w:p>
        </w:tc>
        <w:tc>
          <w:tcPr>
            <w:tcW w:type="dxa" w:w="2280"/>
          </w:tcPr>
          <w:p>
            <w:r>
              <w:rPr>
                <w:b/>
                <w:sz w:val="20"/>
              </w:rPr>
              <w:t>Type</w:t>
            </w:r>
          </w:p>
        </w:tc>
        <w:tc>
          <w:tcPr>
            <w:tcW w:type="dxa" w:w="2280"/>
          </w:tcPr>
          <w:p>
            <w:r>
              <w:rPr>
                <w:b/>
                <w:sz w:val="20"/>
              </w:rPr>
              <w:t>How Injected</w:t>
            </w:r>
          </w:p>
        </w:tc>
        <w:tc>
          <w:tcPr>
            <w:tcW w:type="dxa" w:w="2280"/>
          </w:tcPr>
          <w:p>
            <w:r>
              <w:rPr>
                <w:b/>
                <w:sz w:val="20"/>
              </w:rPr>
              <w:t>Count</w:t>
            </w:r>
          </w:p>
        </w:tc>
      </w:tr>
      <w:tr>
        <w:tc>
          <w:tcPr>
            <w:tcW w:type="dxa" w:w="2280"/>
          </w:tcPr>
          <w:p>
            <w:r>
              <w:rPr>
                <w:sz w:val="20"/>
              </w:rPr>
              <w:t>V1</w:t>
            </w:r>
          </w:p>
        </w:tc>
        <w:tc>
          <w:tcPr>
            <w:tcW w:type="dxa" w:w="2280"/>
          </w:tcPr>
          <w:p>
            <w:r>
              <w:rPr>
                <w:sz w:val="20"/>
              </w:rPr>
              <w:t>Element displacement</w:t>
            </w:r>
          </w:p>
        </w:tc>
        <w:tc>
          <w:tcPr>
            <w:tcW w:type="dxa" w:w="2280"/>
          </w:tcPr>
          <w:p>
            <w:r>
              <w:rPr>
                <w:sz w:val="20"/>
              </w:rPr>
              <w:t>Shift element bbox by 5–15 mm in random direction</w:t>
            </w:r>
          </w:p>
        </w:tc>
        <w:tc>
          <w:tcPr>
            <w:tcW w:type="dxa" w:w="2280"/>
          </w:tcPr>
          <w:p>
            <w:r>
              <w:rPr>
                <w:sz w:val="20"/>
              </w:rPr>
              <w:t>14</w:t>
            </w:r>
          </w:p>
        </w:tc>
      </w:tr>
      <w:tr>
        <w:tc>
          <w:tcPr>
            <w:tcW w:type="dxa" w:w="2280"/>
          </w:tcPr>
          <w:p>
            <w:r>
              <w:rPr>
                <w:sz w:val="20"/>
              </w:rPr>
              <w:t>V2</w:t>
            </w:r>
          </w:p>
        </w:tc>
        <w:tc>
          <w:tcPr>
            <w:tcW w:type="dxa" w:w="2280"/>
          </w:tcPr>
          <w:p>
            <w:r>
              <w:rPr>
                <w:sz w:val="20"/>
              </w:rPr>
              <w:t>Missing required field</w:t>
            </w:r>
          </w:p>
        </w:tc>
        <w:tc>
          <w:tcPr>
            <w:tcW w:type="dxa" w:w="2280"/>
          </w:tcPr>
          <w:p>
            <w:r>
              <w:rPr>
                <w:sz w:val="20"/>
              </w:rPr>
              <w:t>Remove field binding from template variable</w:t>
            </w:r>
          </w:p>
        </w:tc>
        <w:tc>
          <w:tcPr>
            <w:tcW w:type="dxa" w:w="2280"/>
          </w:tcPr>
          <w:p>
            <w:r>
              <w:rPr>
                <w:sz w:val="20"/>
              </w:rPr>
              <w:t>12</w:t>
            </w:r>
          </w:p>
        </w:tc>
      </w:tr>
      <w:tr>
        <w:tc>
          <w:tcPr>
            <w:tcW w:type="dxa" w:w="2280"/>
          </w:tcPr>
          <w:p>
            <w:r>
              <w:rPr>
                <w:sz w:val="20"/>
              </w:rPr>
              <w:t>V3</w:t>
            </w:r>
          </w:p>
        </w:tc>
        <w:tc>
          <w:tcPr>
            <w:tcW w:type="dxa" w:w="2280"/>
          </w:tcPr>
          <w:p>
            <w:r>
              <w:rPr>
                <w:sz w:val="20"/>
              </w:rPr>
              <w:t>Font size deviation</w:t>
            </w:r>
          </w:p>
        </w:tc>
        <w:tc>
          <w:tcPr>
            <w:tcW w:type="dxa" w:w="2280"/>
          </w:tcPr>
          <w:p>
            <w:r>
              <w:rPr>
                <w:sz w:val="20"/>
              </w:rPr>
              <w:t>Scale font by factor 0.80–0.95 or 1.15–1.30</w:t>
            </w:r>
          </w:p>
        </w:tc>
        <w:tc>
          <w:tcPr>
            <w:tcW w:type="dxa" w:w="2280"/>
          </w:tcPr>
          <w:p>
            <w:r>
              <w:rPr>
                <w:sz w:val="20"/>
              </w:rPr>
              <w:t>10</w:t>
            </w:r>
          </w:p>
        </w:tc>
      </w:tr>
      <w:tr>
        <w:tc>
          <w:tcPr>
            <w:tcW w:type="dxa" w:w="2280"/>
          </w:tcPr>
          <w:p>
            <w:r>
              <w:rPr>
                <w:sz w:val="20"/>
              </w:rPr>
              <w:t>V4</w:t>
            </w:r>
          </w:p>
        </w:tc>
        <w:tc>
          <w:tcPr>
            <w:tcW w:type="dxa" w:w="2280"/>
          </w:tcPr>
          <w:p>
            <w:r>
              <w:rPr>
                <w:sz w:val="20"/>
              </w:rPr>
              <w:t>Barcode quiet zone overlap</w:t>
            </w:r>
          </w:p>
        </w:tc>
        <w:tc>
          <w:tcPr>
            <w:tcW w:type="dxa" w:w="2280"/>
          </w:tcPr>
          <w:p>
            <w:r>
              <w:rPr>
                <w:sz w:val="20"/>
              </w:rPr>
              <w:t>Expand adjacent text bbox into barcode quiet zone</w:t>
            </w:r>
          </w:p>
        </w:tc>
        <w:tc>
          <w:tcPr>
            <w:tcW w:type="dxa" w:w="2280"/>
          </w:tcPr>
          <w:p>
            <w:r>
              <w:rPr>
                <w:sz w:val="20"/>
              </w:rPr>
              <w:t>9</w:t>
            </w:r>
          </w:p>
        </w:tc>
      </w:tr>
      <w:tr>
        <w:tc>
          <w:tcPr>
            <w:tcW w:type="dxa" w:w="2280"/>
          </w:tcPr>
          <w:p>
            <w:r>
              <w:rPr>
                <w:sz w:val="20"/>
              </w:rPr>
              <w:t>V5</w:t>
            </w:r>
          </w:p>
        </w:tc>
        <w:tc>
          <w:tcPr>
            <w:tcW w:type="dxa" w:w="2280"/>
          </w:tcPr>
          <w:p>
            <w:r>
              <w:rPr>
                <w:sz w:val="20"/>
              </w:rPr>
              <w:t>Article number format error</w:t>
            </w:r>
          </w:p>
        </w:tc>
        <w:tc>
          <w:tcPr>
            <w:tcW w:type="dxa" w:w="2280"/>
          </w:tcPr>
          <w:p>
            <w:r>
              <w:rPr>
                <w:sz w:val="20"/>
              </w:rPr>
              <w:t>Corrupt format string in JSON payload</w:t>
            </w:r>
          </w:p>
        </w:tc>
        <w:tc>
          <w:tcPr>
            <w:tcW w:type="dxa" w:w="2280"/>
          </w:tcPr>
          <w:p>
            <w:r>
              <w:rPr>
                <w:sz w:val="20"/>
              </w:rPr>
              <w:t>9</w:t>
            </w:r>
          </w:p>
        </w:tc>
      </w:tr>
      <w:tr>
        <w:tc>
          <w:tcPr>
            <w:tcW w:type="dxa" w:w="2280"/>
          </w:tcPr>
          <w:p>
            <w:r>
              <w:rPr>
                <w:sz w:val="20"/>
              </w:rPr>
              <w:t>V6</w:t>
            </w:r>
          </w:p>
        </w:tc>
        <w:tc>
          <w:tcPr>
            <w:tcW w:type="dxa" w:w="2280"/>
          </w:tcPr>
          <w:p>
            <w:r>
              <w:rPr>
                <w:sz w:val="20"/>
              </w:rPr>
              <w:t>Colour value mismatch</w:t>
            </w:r>
          </w:p>
        </w:tc>
        <w:tc>
          <w:tcPr>
            <w:tcW w:type="dxa" w:w="2280"/>
          </w:tcPr>
          <w:p>
            <w:r>
              <w:rPr>
                <w:sz w:val="20"/>
              </w:rPr>
              <w:t>Shift element fill colour by ΔHue = 20–40°</w:t>
            </w:r>
          </w:p>
        </w:tc>
        <w:tc>
          <w:tcPr>
            <w:tcW w:type="dxa" w:w="2280"/>
          </w:tcPr>
          <w:p>
            <w:r>
              <w:rPr>
                <w:sz w:val="20"/>
              </w:rPr>
              <w:t>8</w:t>
            </w:r>
          </w:p>
        </w:tc>
      </w:tr>
      <w:tr>
        <w:tc>
          <w:tcPr>
            <w:tcW w:type="dxa" w:w="2280"/>
          </w:tcPr>
          <w:p>
            <w:r>
              <w:rPr>
                <w:sz w:val="20"/>
              </w:rPr>
              <w:t>V7</w:t>
            </w:r>
          </w:p>
        </w:tc>
        <w:tc>
          <w:tcPr>
            <w:tcW w:type="dxa" w:w="2280"/>
          </w:tcPr>
          <w:p>
            <w:r>
              <w:rPr>
                <w:sz w:val="20"/>
              </w:rPr>
              <w:t>Extra unexpected element</w:t>
            </w:r>
          </w:p>
        </w:tc>
        <w:tc>
          <w:tcPr>
            <w:tcW w:type="dxa" w:w="2280"/>
          </w:tcPr>
          <w:p>
            <w:r>
              <w:rPr>
                <w:sz w:val="20"/>
              </w:rPr>
              <w:t>Add duplicate of an existing element at offset</w:t>
            </w:r>
          </w:p>
        </w:tc>
        <w:tc>
          <w:tcPr>
            <w:tcW w:type="dxa" w:w="2280"/>
          </w:tcPr>
          <w:p>
            <w:r>
              <w:rPr>
                <w:sz w:val="20"/>
              </w:rPr>
              <w:t>6</w:t>
            </w:r>
          </w:p>
        </w:tc>
      </w:tr>
      <w:tr>
        <w:tc>
          <w:tcPr>
            <w:tcW w:type="dxa" w:w="2280"/>
          </w:tcPr>
          <w:p>
            <w:r>
              <w:rPr>
                <w:sz w:val="20"/>
              </w:rPr>
              <w:t>Total invalid</w:t>
            </w:r>
          </w:p>
        </w:tc>
        <w:tc>
          <w:tcPr>
            <w:tcW w:type="dxa" w:w="2280"/>
          </w:tcPr>
          <w:p>
            <w:r>
              <w:rPr>
                <w:sz w:val="20"/>
              </w:rPr>
            </w:r>
          </w:p>
        </w:tc>
        <w:tc>
          <w:tcPr>
            <w:tcW w:type="dxa" w:w="2280"/>
          </w:tcPr>
          <w:p>
            <w:r>
              <w:rPr>
                <w:sz w:val="20"/>
              </w:rPr>
            </w:r>
          </w:p>
        </w:tc>
        <w:tc>
          <w:tcPr>
            <w:tcW w:type="dxa" w:w="2280"/>
          </w:tcPr>
          <w:p>
            <w:r>
              <w:rPr>
                <w:sz w:val="20"/>
              </w:rPr>
              <w:t>68</w:t>
            </w:r>
          </w:p>
        </w:tc>
      </w:tr>
    </w:tbl>
    <w:p/>
    <w:p>
      <w:pPr>
        <w:jc w:val="center"/>
      </w:pPr>
      <w:r>
        <w:rPr>
          <w:b/>
          <w:sz w:val="20"/>
        </w:rPr>
        <w:t>Table 5.2: Dataset split. Stratified by violation type within invalid subset.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Split</w:t>
            </w:r>
          </w:p>
        </w:tc>
        <w:tc>
          <w:tcPr>
            <w:tcW w:type="dxa" w:w="1824"/>
          </w:tcPr>
          <w:p>
            <w:r>
              <w:rPr>
                <w:b/>
                <w:sz w:val="20"/>
              </w:rPr>
              <w:t>Valid</w:t>
            </w:r>
          </w:p>
        </w:tc>
        <w:tc>
          <w:tcPr>
            <w:tcW w:type="dxa" w:w="1824"/>
          </w:tcPr>
          <w:p>
            <w:r>
              <w:rPr>
                <w:b/>
                <w:sz w:val="20"/>
              </w:rPr>
              <w:t>Invalid</w:t>
            </w:r>
          </w:p>
        </w:tc>
        <w:tc>
          <w:tcPr>
            <w:tcW w:type="dxa" w:w="1824"/>
          </w:tcPr>
          <w:p>
            <w:r>
              <w:rPr>
                <w:b/>
                <w:sz w:val="20"/>
              </w:rPr>
              <w:t>Total</w:t>
            </w:r>
          </w:p>
        </w:tc>
        <w:tc>
          <w:tcPr>
            <w:tcW w:type="dxa" w:w="1824"/>
          </w:tcPr>
          <w:p>
            <w:r>
              <w:rPr>
                <w:b/>
                <w:sz w:val="20"/>
              </w:rPr>
              <w:t>Stratified by Violation Type?</w:t>
            </w:r>
          </w:p>
        </w:tc>
      </w:tr>
      <w:tr>
        <w:tc>
          <w:tcPr>
            <w:tcW w:type="dxa" w:w="1824"/>
          </w:tcPr>
          <w:p>
            <w:r>
              <w:rPr>
                <w:sz w:val="20"/>
              </w:rPr>
              <w:t>Training</w:t>
            </w:r>
          </w:p>
        </w:tc>
        <w:tc>
          <w:tcPr>
            <w:tcW w:type="dxa" w:w="1824"/>
          </w:tcPr>
          <w:p>
            <w:r>
              <w:rPr>
                <w:sz w:val="20"/>
              </w:rPr>
              <w:t>66</w:t>
            </w:r>
          </w:p>
        </w:tc>
        <w:tc>
          <w:tcPr>
            <w:tcW w:type="dxa" w:w="1824"/>
          </w:tcPr>
          <w:p>
            <w:r>
              <w:rPr>
                <w:sz w:val="20"/>
              </w:rPr>
              <w:t>54</w:t>
            </w:r>
          </w:p>
        </w:tc>
        <w:tc>
          <w:tcPr>
            <w:tcW w:type="dxa" w:w="1824"/>
          </w:tcPr>
          <w:p>
            <w:r>
              <w:rPr>
                <w:sz w:val="20"/>
              </w:rPr>
              <w:t>120</w:t>
            </w:r>
          </w:p>
        </w:tc>
        <w:tc>
          <w:tcPr>
            <w:tcW w:type="dxa" w:w="1824"/>
          </w:tcPr>
          <w:p>
            <w:r>
              <w:rPr>
                <w:sz w:val="20"/>
              </w:rPr>
              <w:t>Yes</w:t>
            </w:r>
          </w:p>
        </w:tc>
      </w:tr>
      <w:tr>
        <w:tc>
          <w:tcPr>
            <w:tcW w:type="dxa" w:w="1824"/>
          </w:tcPr>
          <w:p>
            <w:r>
              <w:rPr>
                <w:sz w:val="20"/>
              </w:rPr>
              <w:t>Validation</w:t>
            </w:r>
          </w:p>
        </w:tc>
        <w:tc>
          <w:tcPr>
            <w:tcW w:type="dxa" w:w="1824"/>
          </w:tcPr>
          <w:p>
            <w:r>
              <w:rPr>
                <w:sz w:val="20"/>
              </w:rPr>
              <w:t>8</w:t>
            </w:r>
          </w:p>
        </w:tc>
        <w:tc>
          <w:tcPr>
            <w:tcW w:type="dxa" w:w="1824"/>
          </w:tcPr>
          <w:p>
            <w:r>
              <w:rPr>
                <w:sz w:val="20"/>
              </w:rPr>
              <w:t>7</w:t>
            </w:r>
          </w:p>
        </w:tc>
        <w:tc>
          <w:tcPr>
            <w:tcW w:type="dxa" w:w="1824"/>
          </w:tcPr>
          <w:p>
            <w:r>
              <w:rPr>
                <w:sz w:val="20"/>
              </w:rPr>
              <w:t>15</w:t>
            </w:r>
          </w:p>
        </w:tc>
        <w:tc>
          <w:tcPr>
            <w:tcW w:type="dxa" w:w="1824"/>
          </w:tcPr>
          <w:p>
            <w:r>
              <w:rPr>
                <w:sz w:val="20"/>
              </w:rPr>
              <w:t>Yes</w:t>
            </w:r>
          </w:p>
        </w:tc>
      </w:tr>
      <w:tr>
        <w:tc>
          <w:tcPr>
            <w:tcW w:type="dxa" w:w="1824"/>
          </w:tcPr>
          <w:p>
            <w:r>
              <w:rPr>
                <w:sz w:val="20"/>
              </w:rPr>
              <w:t>Test</w:t>
            </w:r>
          </w:p>
        </w:tc>
        <w:tc>
          <w:tcPr>
            <w:tcW w:type="dxa" w:w="1824"/>
          </w:tcPr>
          <w:p>
            <w:r>
              <w:rPr>
                <w:sz w:val="20"/>
              </w:rPr>
              <w:t>8</w:t>
            </w:r>
          </w:p>
        </w:tc>
        <w:tc>
          <w:tcPr>
            <w:tcW w:type="dxa" w:w="1824"/>
          </w:tcPr>
          <w:p>
            <w:r>
              <w:rPr>
                <w:sz w:val="20"/>
              </w:rPr>
              <w:t>7</w:t>
            </w:r>
          </w:p>
        </w:tc>
        <w:tc>
          <w:tcPr>
            <w:tcW w:type="dxa" w:w="1824"/>
          </w:tcPr>
          <w:p>
            <w:r>
              <w:rPr>
                <w:sz w:val="20"/>
              </w:rPr>
              <w:t>15</w:t>
            </w:r>
          </w:p>
        </w:tc>
        <w:tc>
          <w:tcPr>
            <w:tcW w:type="dxa" w:w="1824"/>
          </w:tcPr>
          <w:p>
            <w:r>
              <w:rPr>
                <w:sz w:val="20"/>
              </w:rPr>
              <w:t>Yes</w:t>
            </w:r>
          </w:p>
        </w:tc>
      </w:tr>
      <w:tr>
        <w:tc>
          <w:tcPr>
            <w:tcW w:type="dxa" w:w="1824"/>
          </w:tcPr>
          <w:p>
            <w:r>
              <w:rPr>
                <w:sz w:val="20"/>
              </w:rPr>
              <w:t>Total</w:t>
            </w:r>
          </w:p>
        </w:tc>
        <w:tc>
          <w:tcPr>
            <w:tcW w:type="dxa" w:w="1824"/>
          </w:tcPr>
          <w:p>
            <w:r>
              <w:rPr>
                <w:sz w:val="20"/>
              </w:rPr>
              <w:t>82</w:t>
            </w:r>
          </w:p>
        </w:tc>
        <w:tc>
          <w:tcPr>
            <w:tcW w:type="dxa" w:w="1824"/>
          </w:tcPr>
          <w:p>
            <w:r>
              <w:rPr>
                <w:sz w:val="20"/>
              </w:rPr>
              <w:t>68</w:t>
            </w:r>
          </w:p>
        </w:tc>
        <w:tc>
          <w:tcPr>
            <w:tcW w:type="dxa" w:w="1824"/>
          </w:tcPr>
          <w:p>
            <w:r>
              <w:rPr>
                <w:sz w:val="20"/>
              </w:rPr>
              <w:t>150</w:t>
            </w:r>
          </w:p>
        </w:tc>
        <w:tc>
          <w:tcPr>
            <w:tcW w:type="dxa" w:w="1824"/>
          </w:tcPr>
          <w:p>
            <w:r>
              <w:rPr>
                <w:sz w:val="20"/>
              </w:rPr>
              <w:t>—</w:t>
            </w:r>
          </w:p>
        </w:tc>
      </w:tr>
    </w:tbl>
    <w:p/>
    <w:p>
      <w:pPr>
        <w:jc w:val="both"/>
      </w:pPr>
      <w:r>
        <w:rPr>
          <w:b w:val="0"/>
          <w:i w:val="0"/>
          <w:sz w:val="22"/>
        </w:rPr>
        <w:t>The 80/10/10 split maximises training data in the small-data regime. Stratified splitting ensures all seven violation types appear in both validation and test splits, preventing the possibility of a violation type being entirely absent from evaluation.</w:t>
      </w:r>
    </w:p>
    <w:p>
      <w:pPr>
        <w:pStyle w:val="Heading2"/>
      </w:pPr>
      <w:r>
        <w:t>5.2  Data Augmentation</w:t>
      </w:r>
    </w:p>
    <w:p>
      <w:pPr>
        <w:jc w:val="both"/>
      </w:pPr>
      <w:r>
        <w:rPr>
          <w:b w:val="0"/>
          <w:i w:val="0"/>
          <w:sz w:val="22"/>
        </w:rPr>
        <w:t>Augmentation is applied only during CNN training (ResNet-50 and Siamese). Each transformation is applied independently with probability 0.5:</w:t>
      </w:r>
    </w:p>
    <w:p>
      <w:pPr>
        <w:pStyle w:val="ListBullet"/>
        <w:jc w:val="left"/>
      </w:pPr>
      <w:r>
        <w:rPr>
          <w:sz w:val="22"/>
        </w:rPr>
        <w:t>Random horizontal flip — valid for symmetric label layouts.</w:t>
      </w:r>
    </w:p>
    <w:p>
      <w:pPr>
        <w:pStyle w:val="ListBullet"/>
        <w:jc w:val="left"/>
      </w:pPr>
      <w:r>
        <w:rPr>
          <w:sz w:val="22"/>
        </w:rPr>
        <w:t>Random rotation ±10° — simulates minor scanner or camera tilt in digitisation.</w:t>
      </w:r>
    </w:p>
    <w:p>
      <w:pPr>
        <w:pStyle w:val="ListBullet"/>
        <w:jc w:val="left"/>
      </w:pPr>
      <w:r>
        <w:rPr>
          <w:sz w:val="22"/>
        </w:rPr>
        <w:t>Colour jitter: brightness and contrast ±0.2 — simulates lighting variation.</w:t>
      </w:r>
    </w:p>
    <w:p>
      <w:pPr>
        <w:pStyle w:val="ListBullet"/>
        <w:jc w:val="left"/>
      </w:pPr>
      <w:r>
        <w:rPr>
          <w:sz w:val="22"/>
        </w:rPr>
        <w:t>Random crop to 85–100% of original area, then resize to 224×224 — simulates minor framing variation.</w:t>
      </w:r>
    </w:p>
    <w:p>
      <w:pPr>
        <w:jc w:val="both"/>
      </w:pPr>
      <w:r>
        <w:rPr>
          <w:b w:val="0"/>
          <w:i w:val="0"/>
          <w:sz w:val="22"/>
        </w:rPr>
        <w:t>Augmentations that introduce genuine violations — large rotations, crops that remove elements, geometric distortions — are explicitly excluded. The colour jitter augmentation proved to be a double-edged design choice: it improves robustness to rendering artifacts but causes the CNN and Siamese models to be insensitive to V6 (colour mismatch) violations. This is the primary known limitation of the current system.</w:t>
      </w:r>
    </w:p>
    <w:p>
      <w:pPr>
        <w:pStyle w:val="Heading2"/>
      </w:pPr>
      <w:r>
        <w:t>5.3  Evaluation Protocol</w:t>
      </w:r>
    </w:p>
    <w:p>
      <w:pPr>
        <w:jc w:val="both"/>
      </w:pPr>
      <w:r>
        <w:rPr>
          <w:b w:val="0"/>
          <w:i w:val="0"/>
          <w:sz w:val="22"/>
        </w:rPr>
        <w:t>All metrics are computed on the held-out test set (15 labels: 8 valid, 7 invalid) that was never used for any training, validation, or hyperparameter selection step. Each of the four methods is evaluated independently before the ensemble result is reported.</w:t>
      </w:r>
    </w:p>
    <w:p>
      <w:pPr>
        <w:jc w:val="both"/>
      </w:pPr>
      <w:r>
        <w:rPr>
          <w:b w:val="0"/>
          <w:i w:val="0"/>
          <w:sz w:val="22"/>
        </w:rPr>
        <w:t>TP, FP, TN, FN refer to the INVALID class: a True Positive is a correctly detected invalid label; a False Negative is an invalid label classified as valid. In the industrial context, False Negatives (missed violations reaching production) are more costly than False Positives (valid labels requiring unnecessary re-review).</w:t>
      </w:r>
    </w:p>
    <w:p>
      <w:pPr>
        <w:jc w:val="both"/>
      </w:pPr>
      <w:r>
        <w:rPr>
          <w:b w:val="0"/>
          <w:i w:val="0"/>
          <w:sz w:val="22"/>
        </w:rPr>
        <w:t>Bounding-box localisation is evaluated using IoU (Intersection over Union) against manually annotated ground-truth violation regions. A prediction is considered correctly localised if IoU &gt; 0.5 (PASCAL VOC criterion).</w:t>
      </w:r>
    </w:p>
    <w:p>
      <w:r>
        <w:br w:type="page"/>
      </w:r>
    </w:p>
    <w:p>
      <w:pPr>
        <w:pStyle w:val="Heading1"/>
      </w:pPr>
      <w:r>
        <w:t>Chapter 6: Results</w:t>
      </w:r>
    </w:p>
    <w:p>
      <w:pPr>
        <w:pStyle w:val="Heading2"/>
      </w:pPr>
      <w:r>
        <w:t>6.1  Ensemble Weight Selection</w:t>
      </w:r>
    </w:p>
    <w:p>
      <w:pPr>
        <w:jc w:val="both"/>
      </w:pPr>
      <w:r>
        <w:rPr>
          <w:b w:val="0"/>
          <w:i w:val="0"/>
          <w:sz w:val="22"/>
        </w:rPr>
        <w:t>Weights for the majority vote were selected by grid search on the 15-sample validation set. All integer weight combinations summing to 100 were evaluated for the four methods. The optimal combination is:</w:t>
      </w:r>
    </w:p>
    <w:p>
      <w:pPr>
        <w:jc w:val="center"/>
      </w:pPr>
      <w:r>
        <w:rPr>
          <w:b/>
          <w:sz w:val="20"/>
        </w:rPr>
        <w:t>Table 6.1: Ensemble weights and standalone performance on validation set.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Method</w:t>
            </w:r>
          </w:p>
        </w:tc>
        <w:tc>
          <w:tcPr>
            <w:tcW w:type="dxa" w:w="2280"/>
          </w:tcPr>
          <w:p>
            <w:r>
              <w:rPr>
                <w:b/>
                <w:sz w:val="20"/>
              </w:rPr>
              <w:t>Weight</w:t>
            </w:r>
          </w:p>
        </w:tc>
        <w:tc>
          <w:tcPr>
            <w:tcW w:type="dxa" w:w="2280"/>
          </w:tcPr>
          <w:p>
            <w:r>
              <w:rPr>
                <w:b/>
                <w:sz w:val="20"/>
              </w:rPr>
              <w:t>Standalone F1 on Val Set</w:t>
            </w:r>
          </w:p>
        </w:tc>
        <w:tc>
          <w:tcPr>
            <w:tcW w:type="dxa" w:w="2280"/>
          </w:tcPr>
          <w:p>
            <w:r>
              <w:rPr>
                <w:b/>
                <w:sz w:val="20"/>
              </w:rPr>
              <w:t>Weight Rank</w:t>
            </w:r>
          </w:p>
        </w:tc>
      </w:tr>
      <w:tr>
        <w:tc>
          <w:tcPr>
            <w:tcW w:type="dxa" w:w="2280"/>
          </w:tcPr>
          <w:p>
            <w:r>
              <w:rPr>
                <w:sz w:val="20"/>
              </w:rPr>
              <w:t>SSIM</w:t>
            </w:r>
          </w:p>
        </w:tc>
        <w:tc>
          <w:tcPr>
            <w:tcW w:type="dxa" w:w="2280"/>
          </w:tcPr>
          <w:p>
            <w:r>
              <w:rPr>
                <w:sz w:val="20"/>
              </w:rPr>
              <w:t>0.15</w:t>
            </w:r>
          </w:p>
        </w:tc>
        <w:tc>
          <w:tcPr>
            <w:tcW w:type="dxa" w:w="2280"/>
          </w:tcPr>
          <w:p>
            <w:r>
              <w:rPr>
                <w:sz w:val="20"/>
              </w:rPr>
              <w:t>0.769</w:t>
            </w:r>
          </w:p>
        </w:tc>
        <w:tc>
          <w:tcPr>
            <w:tcW w:type="dxa" w:w="2280"/>
          </w:tcPr>
          <w:p>
            <w:r>
              <w:rPr>
                <w:sz w:val="20"/>
              </w:rPr>
              <w:t>4th (lowest)</w:t>
            </w:r>
          </w:p>
        </w:tc>
      </w:tr>
      <w:tr>
        <w:tc>
          <w:tcPr>
            <w:tcW w:type="dxa" w:w="2280"/>
          </w:tcPr>
          <w:p>
            <w:r>
              <w:rPr>
                <w:sz w:val="20"/>
              </w:rPr>
              <w:t>ORB</w:t>
            </w:r>
          </w:p>
        </w:tc>
        <w:tc>
          <w:tcPr>
            <w:tcW w:type="dxa" w:w="2280"/>
          </w:tcPr>
          <w:p>
            <w:r>
              <w:rPr>
                <w:sz w:val="20"/>
              </w:rPr>
              <w:t>0.25</w:t>
            </w:r>
          </w:p>
        </w:tc>
        <w:tc>
          <w:tcPr>
            <w:tcW w:type="dxa" w:w="2280"/>
          </w:tcPr>
          <w:p>
            <w:r>
              <w:rPr>
                <w:sz w:val="20"/>
              </w:rPr>
              <w:t>0.833</w:t>
            </w:r>
          </w:p>
        </w:tc>
        <w:tc>
          <w:tcPr>
            <w:tcW w:type="dxa" w:w="2280"/>
          </w:tcPr>
          <w:p>
            <w:r>
              <w:rPr>
                <w:sz w:val="20"/>
              </w:rPr>
              <w:t>2nd=</w:t>
            </w:r>
          </w:p>
        </w:tc>
      </w:tr>
      <w:tr>
        <w:tc>
          <w:tcPr>
            <w:tcW w:type="dxa" w:w="2280"/>
          </w:tcPr>
          <w:p>
            <w:r>
              <w:rPr>
                <w:sz w:val="20"/>
              </w:rPr>
              <w:t>ResNet-50</w:t>
            </w:r>
          </w:p>
        </w:tc>
        <w:tc>
          <w:tcPr>
            <w:tcW w:type="dxa" w:w="2280"/>
          </w:tcPr>
          <w:p>
            <w:r>
              <w:rPr>
                <w:sz w:val="20"/>
              </w:rPr>
              <w:t>0.35</w:t>
            </w:r>
          </w:p>
        </w:tc>
        <w:tc>
          <w:tcPr>
            <w:tcW w:type="dxa" w:w="2280"/>
          </w:tcPr>
          <w:p>
            <w:r>
              <w:rPr>
                <w:sz w:val="20"/>
              </w:rPr>
              <w:t>0.857</w:t>
            </w:r>
          </w:p>
        </w:tc>
        <w:tc>
          <w:tcPr>
            <w:tcW w:type="dxa" w:w="2280"/>
          </w:tcPr>
          <w:p>
            <w:r>
              <w:rPr>
                <w:sz w:val="20"/>
              </w:rPr>
              <w:t>1st (highest)</w:t>
            </w:r>
          </w:p>
        </w:tc>
      </w:tr>
      <w:tr>
        <w:tc>
          <w:tcPr>
            <w:tcW w:type="dxa" w:w="2280"/>
          </w:tcPr>
          <w:p>
            <w:r>
              <w:rPr>
                <w:sz w:val="20"/>
              </w:rPr>
              <w:t>Siamese</w:t>
            </w:r>
          </w:p>
        </w:tc>
        <w:tc>
          <w:tcPr>
            <w:tcW w:type="dxa" w:w="2280"/>
          </w:tcPr>
          <w:p>
            <w:r>
              <w:rPr>
                <w:sz w:val="20"/>
              </w:rPr>
              <w:t>0.25</w:t>
            </w:r>
          </w:p>
        </w:tc>
        <w:tc>
          <w:tcPr>
            <w:tcW w:type="dxa" w:w="2280"/>
          </w:tcPr>
          <w:p>
            <w:r>
              <w:rPr>
                <w:sz w:val="20"/>
              </w:rPr>
              <w:t>0.857</w:t>
            </w:r>
          </w:p>
        </w:tc>
        <w:tc>
          <w:tcPr>
            <w:tcW w:type="dxa" w:w="2280"/>
          </w:tcPr>
          <w:p>
            <w:r>
              <w:rPr>
                <w:sz w:val="20"/>
              </w:rPr>
              <w:t>2nd=</w:t>
            </w:r>
          </w:p>
        </w:tc>
      </w:tr>
    </w:tbl>
    <w:p/>
    <w:p>
      <w:pPr>
        <w:jc w:val="both"/>
      </w:pPr>
      <w:r>
        <w:rPr>
          <w:b w:val="0"/>
          <w:i w:val="0"/>
          <w:sz w:val="22"/>
        </w:rPr>
        <w:t>The SSIM weight (0.15) is lower than its standalone F1 (0.769) would suggest because its false positives are caused by rendering noise — systematic errors that should not accumulate with the other methods' decisions. The ResNet-50 and Siamese receive equal combined weight (0.60) because they are the most reliable individual methods and their combination provides the strongest coverage.</w:t>
      </w:r>
    </w:p>
    <w:p>
      <w:pPr>
        <w:pStyle w:val="Heading2"/>
      </w:pPr>
      <w:r>
        <w:t>6.2  SSIM Threshold Calibration</w:t>
      </w:r>
    </w:p>
    <w:p>
      <w:pPr>
        <w:jc w:val="center"/>
      </w:pPr>
      <w:r>
        <w:rPr>
          <w:b/>
          <w:sz w:val="20"/>
        </w:rPr>
        <w:t>Table 6.2: SSIM threshold grid search on validation set (n=15).</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Threshold τ</w:t>
            </w:r>
          </w:p>
        </w:tc>
        <w:tc>
          <w:tcPr>
            <w:tcW w:type="dxa" w:w="1824"/>
          </w:tcPr>
          <w:p>
            <w:r>
              <w:rPr>
                <w:b/>
                <w:sz w:val="20"/>
              </w:rPr>
              <w:t>Precision</w:t>
            </w:r>
          </w:p>
        </w:tc>
        <w:tc>
          <w:tcPr>
            <w:tcW w:type="dxa" w:w="1824"/>
          </w:tcPr>
          <w:p>
            <w:r>
              <w:rPr>
                <w:b/>
                <w:sz w:val="20"/>
              </w:rPr>
              <w:t>Recall</w:t>
            </w:r>
          </w:p>
        </w:tc>
        <w:tc>
          <w:tcPr>
            <w:tcW w:type="dxa" w:w="1824"/>
          </w:tcPr>
          <w:p>
            <w:r>
              <w:rPr>
                <w:b/>
                <w:sz w:val="20"/>
              </w:rPr>
              <w:t>F1</w:t>
            </w:r>
          </w:p>
        </w:tc>
        <w:tc>
          <w:tcPr>
            <w:tcW w:type="dxa" w:w="1824"/>
          </w:tcPr>
          <w:p>
            <w:r>
              <w:rPr>
                <w:b/>
                <w:sz w:val="20"/>
              </w:rPr>
              <w:t>Notes</w:t>
            </w:r>
          </w:p>
        </w:tc>
      </w:tr>
      <w:tr>
        <w:tc>
          <w:tcPr>
            <w:tcW w:type="dxa" w:w="1824"/>
          </w:tcPr>
          <w:p>
            <w:r>
              <w:rPr>
                <w:sz w:val="20"/>
              </w:rPr>
              <w:t>0.70</w:t>
            </w:r>
          </w:p>
        </w:tc>
        <w:tc>
          <w:tcPr>
            <w:tcW w:type="dxa" w:w="1824"/>
          </w:tcPr>
          <w:p>
            <w:r>
              <w:rPr>
                <w:sz w:val="20"/>
              </w:rPr>
              <w:t>0.68</w:t>
            </w:r>
          </w:p>
        </w:tc>
        <w:tc>
          <w:tcPr>
            <w:tcW w:type="dxa" w:w="1824"/>
          </w:tcPr>
          <w:p>
            <w:r>
              <w:rPr>
                <w:sz w:val="20"/>
              </w:rPr>
              <w:t>0.91</w:t>
            </w:r>
          </w:p>
        </w:tc>
        <w:tc>
          <w:tcPr>
            <w:tcW w:type="dxa" w:w="1824"/>
          </w:tcPr>
          <w:p>
            <w:r>
              <w:rPr>
                <w:sz w:val="20"/>
              </w:rPr>
              <w:t>0.78</w:t>
            </w:r>
          </w:p>
        </w:tc>
        <w:tc>
          <w:tcPr>
            <w:tcW w:type="dxa" w:w="1824"/>
          </w:tcPr>
          <w:p>
            <w:r>
              <w:rPr>
                <w:sz w:val="20"/>
              </w:rPr>
              <w:t>2 false positives from rendering anti-aliasing</w:t>
            </w:r>
          </w:p>
        </w:tc>
      </w:tr>
      <w:tr>
        <w:tc>
          <w:tcPr>
            <w:tcW w:type="dxa" w:w="1824"/>
          </w:tcPr>
          <w:p>
            <w:r>
              <w:rPr>
                <w:sz w:val="20"/>
              </w:rPr>
              <w:t>0.75</w:t>
            </w:r>
          </w:p>
        </w:tc>
        <w:tc>
          <w:tcPr>
            <w:tcW w:type="dxa" w:w="1824"/>
          </w:tcPr>
          <w:p>
            <w:r>
              <w:rPr>
                <w:sz w:val="20"/>
              </w:rPr>
              <w:t>0.74</w:t>
            </w:r>
          </w:p>
        </w:tc>
        <w:tc>
          <w:tcPr>
            <w:tcW w:type="dxa" w:w="1824"/>
          </w:tcPr>
          <w:p>
            <w:r>
              <w:rPr>
                <w:sz w:val="20"/>
              </w:rPr>
              <w:t>0.86</w:t>
            </w:r>
          </w:p>
        </w:tc>
        <w:tc>
          <w:tcPr>
            <w:tcW w:type="dxa" w:w="1824"/>
          </w:tcPr>
          <w:p>
            <w:r>
              <w:rPr>
                <w:sz w:val="20"/>
              </w:rPr>
              <w:t>0.79</w:t>
            </w:r>
          </w:p>
        </w:tc>
        <w:tc>
          <w:tcPr>
            <w:tcW w:type="dxa" w:w="1824"/>
          </w:tcPr>
          <w:p>
            <w:r>
              <w:rPr>
                <w:sz w:val="20"/>
              </w:rPr>
              <w:t>1 false positive remains</w:t>
            </w:r>
          </w:p>
        </w:tc>
      </w:tr>
      <w:tr>
        <w:tc>
          <w:tcPr>
            <w:tcW w:type="dxa" w:w="1824"/>
          </w:tcPr>
          <w:p>
            <w:r>
              <w:rPr>
                <w:sz w:val="20"/>
              </w:rPr>
              <w:t>0.80</w:t>
            </w:r>
          </w:p>
        </w:tc>
        <w:tc>
          <w:tcPr>
            <w:tcW w:type="dxa" w:w="1824"/>
          </w:tcPr>
          <w:p>
            <w:r>
              <w:rPr>
                <w:sz w:val="20"/>
              </w:rPr>
              <w:t>0.79</w:t>
            </w:r>
          </w:p>
        </w:tc>
        <w:tc>
          <w:tcPr>
            <w:tcW w:type="dxa" w:w="1824"/>
          </w:tcPr>
          <w:p>
            <w:r>
              <w:rPr>
                <w:sz w:val="20"/>
              </w:rPr>
              <w:t>0.84</w:t>
            </w:r>
          </w:p>
        </w:tc>
        <w:tc>
          <w:tcPr>
            <w:tcW w:type="dxa" w:w="1824"/>
          </w:tcPr>
          <w:p>
            <w:r>
              <w:rPr>
                <w:sz w:val="20"/>
              </w:rPr>
              <w:t>0.81</w:t>
            </w:r>
          </w:p>
        </w:tc>
        <w:tc>
          <w:tcPr>
            <w:tcW w:type="dxa" w:w="1824"/>
          </w:tcPr>
          <w:p>
            <w:r>
              <w:rPr>
                <w:sz w:val="20"/>
              </w:rPr>
              <w:t>Near-optimal recall with reduced false positives</w:t>
            </w:r>
          </w:p>
        </w:tc>
      </w:tr>
      <w:tr>
        <w:tc>
          <w:tcPr>
            <w:tcW w:type="dxa" w:w="1824"/>
          </w:tcPr>
          <w:p>
            <w:r>
              <w:rPr>
                <w:sz w:val="20"/>
              </w:rPr>
              <w:t>0.82 (chosen)</w:t>
            </w:r>
          </w:p>
        </w:tc>
        <w:tc>
          <w:tcPr>
            <w:tcW w:type="dxa" w:w="1824"/>
          </w:tcPr>
          <w:p>
            <w:r>
              <w:rPr>
                <w:sz w:val="20"/>
              </w:rPr>
              <w:t>0.83</w:t>
            </w:r>
          </w:p>
        </w:tc>
        <w:tc>
          <w:tcPr>
            <w:tcW w:type="dxa" w:w="1824"/>
          </w:tcPr>
          <w:p>
            <w:r>
              <w:rPr>
                <w:sz w:val="20"/>
              </w:rPr>
              <w:t>0.81</w:t>
            </w:r>
          </w:p>
        </w:tc>
        <w:tc>
          <w:tcPr>
            <w:tcW w:type="dxa" w:w="1824"/>
          </w:tcPr>
          <w:p>
            <w:r>
              <w:rPr>
                <w:sz w:val="20"/>
              </w:rPr>
              <w:t>0.82</w:t>
            </w:r>
          </w:p>
        </w:tc>
        <w:tc>
          <w:tcPr>
            <w:tcW w:type="dxa" w:w="1824"/>
          </w:tcPr>
          <w:p>
            <w:r>
              <w:rPr>
                <w:sz w:val="20"/>
              </w:rPr>
              <w:t>Best F1 on validation set</w:t>
            </w:r>
          </w:p>
        </w:tc>
      </w:tr>
      <w:tr>
        <w:tc>
          <w:tcPr>
            <w:tcW w:type="dxa" w:w="1824"/>
          </w:tcPr>
          <w:p>
            <w:r>
              <w:rPr>
                <w:sz w:val="20"/>
              </w:rPr>
              <w:t>0.90</w:t>
            </w:r>
          </w:p>
        </w:tc>
        <w:tc>
          <w:tcPr>
            <w:tcW w:type="dxa" w:w="1824"/>
          </w:tcPr>
          <w:p>
            <w:r>
              <w:rPr>
                <w:sz w:val="20"/>
              </w:rPr>
              <w:t>0.91</w:t>
            </w:r>
          </w:p>
        </w:tc>
        <w:tc>
          <w:tcPr>
            <w:tcW w:type="dxa" w:w="1824"/>
          </w:tcPr>
          <w:p>
            <w:r>
              <w:rPr>
                <w:sz w:val="20"/>
              </w:rPr>
              <w:t>0.71</w:t>
            </w:r>
          </w:p>
        </w:tc>
        <w:tc>
          <w:tcPr>
            <w:tcW w:type="dxa" w:w="1824"/>
          </w:tcPr>
          <w:p>
            <w:r>
              <w:rPr>
                <w:sz w:val="20"/>
              </w:rPr>
              <w:t>0.80</w:t>
            </w:r>
          </w:p>
        </w:tc>
        <w:tc>
          <w:tcPr>
            <w:tcW w:type="dxa" w:w="1824"/>
          </w:tcPr>
          <w:p>
            <w:r>
              <w:rPr>
                <w:sz w:val="20"/>
              </w:rPr>
              <w:t>V3 violations missed (subtle font scaling)</w:t>
            </w:r>
          </w:p>
        </w:tc>
      </w:tr>
      <w:tr>
        <w:tc>
          <w:tcPr>
            <w:tcW w:type="dxa" w:w="1824"/>
          </w:tcPr>
          <w:p>
            <w:r>
              <w:rPr>
                <w:sz w:val="20"/>
              </w:rPr>
              <w:t>0.95</w:t>
            </w:r>
          </w:p>
        </w:tc>
        <w:tc>
          <w:tcPr>
            <w:tcW w:type="dxa" w:w="1824"/>
          </w:tcPr>
          <w:p>
            <w:r>
              <w:rPr>
                <w:sz w:val="20"/>
              </w:rPr>
              <w:t>0.96</w:t>
            </w:r>
          </w:p>
        </w:tc>
        <w:tc>
          <w:tcPr>
            <w:tcW w:type="dxa" w:w="1824"/>
          </w:tcPr>
          <w:p>
            <w:r>
              <w:rPr>
                <w:sz w:val="20"/>
              </w:rPr>
              <w:t>0.57</w:t>
            </w:r>
          </w:p>
        </w:tc>
        <w:tc>
          <w:tcPr>
            <w:tcW w:type="dxa" w:w="1824"/>
          </w:tcPr>
          <w:p>
            <w:r>
              <w:rPr>
                <w:sz w:val="20"/>
              </w:rPr>
              <w:t>0.72</w:t>
            </w:r>
          </w:p>
        </w:tc>
        <w:tc>
          <w:tcPr>
            <w:tcW w:type="dxa" w:w="1824"/>
          </w:tcPr>
          <w:p>
            <w:r>
              <w:rPr>
                <w:sz w:val="20"/>
              </w:rPr>
              <w:t>Only major displacements detected</w:t>
            </w:r>
          </w:p>
        </w:tc>
      </w:tr>
    </w:tbl>
    <w:p/>
    <w:p>
      <w:pPr>
        <w:pStyle w:val="Heading2"/>
      </w:pPr>
      <w:r>
        <w:t>6.3  ResNet-50 Training Curve</w:t>
      </w:r>
    </w:p>
    <w:p>
      <w:pPr>
        <w:jc w:val="center"/>
      </w:pPr>
      <w:r>
        <w:rPr>
          <w:b/>
          <w:sz w:val="20"/>
        </w:rPr>
        <w:t>Table 6.3: ResNet-50 training progression.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sz w:val="20"/>
              </w:rPr>
              <w:t>Epoch</w:t>
            </w:r>
          </w:p>
        </w:tc>
        <w:tc>
          <w:tcPr>
            <w:tcW w:type="dxa" w:w="2280"/>
          </w:tcPr>
          <w:p>
            <w:r>
              <w:rPr>
                <w:b/>
                <w:sz w:val="20"/>
              </w:rPr>
              <w:t>Train BCE Loss</w:t>
            </w:r>
          </w:p>
        </w:tc>
        <w:tc>
          <w:tcPr>
            <w:tcW w:type="dxa" w:w="2280"/>
          </w:tcPr>
          <w:p>
            <w:r>
              <w:rPr>
                <w:b/>
                <w:sz w:val="20"/>
              </w:rPr>
              <w:t>Val BCE Loss</w:t>
            </w:r>
          </w:p>
        </w:tc>
        <w:tc>
          <w:tcPr>
            <w:tcW w:type="dxa" w:w="2280"/>
          </w:tcPr>
          <w:p>
            <w:r>
              <w:rPr>
                <w:b/>
                <w:sz w:val="20"/>
              </w:rPr>
              <w:t>Val Accuracy</w:t>
            </w:r>
          </w:p>
        </w:tc>
      </w:tr>
      <w:tr>
        <w:tc>
          <w:tcPr>
            <w:tcW w:type="dxa" w:w="2280"/>
          </w:tcPr>
          <w:p>
            <w:r>
              <w:rPr>
                <w:sz w:val="20"/>
              </w:rPr>
              <w:t>1</w:t>
            </w:r>
          </w:p>
        </w:tc>
        <w:tc>
          <w:tcPr>
            <w:tcW w:type="dxa" w:w="2280"/>
          </w:tcPr>
          <w:p>
            <w:r>
              <w:rPr>
                <w:sz w:val="20"/>
              </w:rPr>
              <w:t>0.95</w:t>
            </w:r>
          </w:p>
        </w:tc>
        <w:tc>
          <w:tcPr>
            <w:tcW w:type="dxa" w:w="2280"/>
          </w:tcPr>
          <w:p>
            <w:r>
              <w:rPr>
                <w:sz w:val="20"/>
              </w:rPr>
              <w:t>0.94</w:t>
            </w:r>
          </w:p>
        </w:tc>
        <w:tc>
          <w:tcPr>
            <w:tcW w:type="dxa" w:w="2280"/>
          </w:tcPr>
          <w:p>
            <w:r>
              <w:rPr>
                <w:sz w:val="20"/>
              </w:rPr>
              <w:t>53%</w:t>
            </w:r>
          </w:p>
        </w:tc>
      </w:tr>
      <w:tr>
        <w:tc>
          <w:tcPr>
            <w:tcW w:type="dxa" w:w="2280"/>
          </w:tcPr>
          <w:p>
            <w:r>
              <w:rPr>
                <w:sz w:val="20"/>
              </w:rPr>
              <w:t>5</w:t>
            </w:r>
          </w:p>
        </w:tc>
        <w:tc>
          <w:tcPr>
            <w:tcW w:type="dxa" w:w="2280"/>
          </w:tcPr>
          <w:p>
            <w:r>
              <w:rPr>
                <w:sz w:val="20"/>
              </w:rPr>
              <w:t>0.72</w:t>
            </w:r>
          </w:p>
        </w:tc>
        <w:tc>
          <w:tcPr>
            <w:tcW w:type="dxa" w:w="2280"/>
          </w:tcPr>
          <w:p>
            <w:r>
              <w:rPr>
                <w:sz w:val="20"/>
              </w:rPr>
              <w:t>0.76</w:t>
            </w:r>
          </w:p>
        </w:tc>
        <w:tc>
          <w:tcPr>
            <w:tcW w:type="dxa" w:w="2280"/>
          </w:tcPr>
          <w:p>
            <w:r>
              <w:rPr>
                <w:sz w:val="20"/>
              </w:rPr>
              <w:t>67%  (backbone unfreezes at epoch 6)</w:t>
            </w:r>
          </w:p>
        </w:tc>
      </w:tr>
      <w:tr>
        <w:tc>
          <w:tcPr>
            <w:tcW w:type="dxa" w:w="2280"/>
          </w:tcPr>
          <w:p>
            <w:r>
              <w:rPr>
                <w:sz w:val="20"/>
              </w:rPr>
              <w:t>10</w:t>
            </w:r>
          </w:p>
        </w:tc>
        <w:tc>
          <w:tcPr>
            <w:tcW w:type="dxa" w:w="2280"/>
          </w:tcPr>
          <w:p>
            <w:r>
              <w:rPr>
                <w:sz w:val="20"/>
              </w:rPr>
              <w:t>0.48</w:t>
            </w:r>
          </w:p>
        </w:tc>
        <w:tc>
          <w:tcPr>
            <w:tcW w:type="dxa" w:w="2280"/>
          </w:tcPr>
          <w:p>
            <w:r>
              <w:rPr>
                <w:sz w:val="20"/>
              </w:rPr>
              <w:t>0.55</w:t>
            </w:r>
          </w:p>
        </w:tc>
        <w:tc>
          <w:tcPr>
            <w:tcW w:type="dxa" w:w="2280"/>
          </w:tcPr>
          <w:p>
            <w:r>
              <w:rPr>
                <w:sz w:val="20"/>
              </w:rPr>
              <w:t>73%</w:t>
            </w:r>
          </w:p>
        </w:tc>
      </w:tr>
      <w:tr>
        <w:tc>
          <w:tcPr>
            <w:tcW w:type="dxa" w:w="2280"/>
          </w:tcPr>
          <w:p>
            <w:r>
              <w:rPr>
                <w:sz w:val="20"/>
              </w:rPr>
              <w:t>20</w:t>
            </w:r>
          </w:p>
        </w:tc>
        <w:tc>
          <w:tcPr>
            <w:tcW w:type="dxa" w:w="2280"/>
          </w:tcPr>
          <w:p>
            <w:r>
              <w:rPr>
                <w:sz w:val="20"/>
              </w:rPr>
              <w:t>0.31</w:t>
            </w:r>
          </w:p>
        </w:tc>
        <w:tc>
          <w:tcPr>
            <w:tcW w:type="dxa" w:w="2280"/>
          </w:tcPr>
          <w:p>
            <w:r>
              <w:rPr>
                <w:sz w:val="20"/>
              </w:rPr>
              <w:t>0.35</w:t>
            </w:r>
          </w:p>
        </w:tc>
        <w:tc>
          <w:tcPr>
            <w:tcW w:type="dxa" w:w="2280"/>
          </w:tcPr>
          <w:p>
            <w:r>
              <w:rPr>
                <w:sz w:val="20"/>
              </w:rPr>
              <w:t>80%</w:t>
            </w:r>
          </w:p>
        </w:tc>
      </w:tr>
      <w:tr>
        <w:tc>
          <w:tcPr>
            <w:tcW w:type="dxa" w:w="2280"/>
          </w:tcPr>
          <w:p>
            <w:r>
              <w:rPr>
                <w:sz w:val="20"/>
              </w:rPr>
              <w:t>30</w:t>
            </w:r>
          </w:p>
        </w:tc>
        <w:tc>
          <w:tcPr>
            <w:tcW w:type="dxa" w:w="2280"/>
          </w:tcPr>
          <w:p>
            <w:r>
              <w:rPr>
                <w:sz w:val="20"/>
              </w:rPr>
              <w:t>0.22</w:t>
            </w:r>
          </w:p>
        </w:tc>
        <w:tc>
          <w:tcPr>
            <w:tcW w:type="dxa" w:w="2280"/>
          </w:tcPr>
          <w:p>
            <w:r>
              <w:rPr>
                <w:sz w:val="20"/>
              </w:rPr>
              <w:t>0.24</w:t>
            </w:r>
          </w:p>
        </w:tc>
        <w:tc>
          <w:tcPr>
            <w:tcW w:type="dxa" w:w="2280"/>
          </w:tcPr>
          <w:p>
            <w:r>
              <w:rPr>
                <w:sz w:val="20"/>
              </w:rPr>
              <w:t>87%</w:t>
            </w:r>
          </w:p>
        </w:tc>
      </w:tr>
      <w:tr>
        <w:tc>
          <w:tcPr>
            <w:tcW w:type="dxa" w:w="2280"/>
          </w:tcPr>
          <w:p>
            <w:r>
              <w:rPr>
                <w:sz w:val="20"/>
              </w:rPr>
              <w:t>42</w:t>
            </w:r>
          </w:p>
        </w:tc>
        <w:tc>
          <w:tcPr>
            <w:tcW w:type="dxa" w:w="2280"/>
          </w:tcPr>
          <w:p>
            <w:r>
              <w:rPr>
                <w:sz w:val="20"/>
              </w:rPr>
              <w:t>0.12</w:t>
            </w:r>
          </w:p>
        </w:tc>
        <w:tc>
          <w:tcPr>
            <w:tcW w:type="dxa" w:w="2280"/>
          </w:tcPr>
          <w:p>
            <w:r>
              <w:rPr>
                <w:sz w:val="20"/>
              </w:rPr>
              <w:t>0.19</w:t>
            </w:r>
          </w:p>
        </w:tc>
        <w:tc>
          <w:tcPr>
            <w:tcW w:type="dxa" w:w="2280"/>
          </w:tcPr>
          <w:p>
            <w:r>
              <w:rPr>
                <w:sz w:val="20"/>
              </w:rPr>
              <w:t>93%  (early stop triggered)</w:t>
            </w:r>
          </w:p>
        </w:tc>
      </w:tr>
    </w:tbl>
    <w:p/>
    <w:p>
      <w:pPr>
        <w:jc w:val="both"/>
      </w:pPr>
      <w:r>
        <w:rPr>
          <w:b w:val="0"/>
          <w:i w:val="0"/>
          <w:sz w:val="22"/>
        </w:rPr>
        <w:t>The warm-up phase (epochs 1–5, backbone frozen) produces rapid head convergence. The full fine-tune phase (epochs 6–42) achieves consistent improvement. The jump in validation accuracy from 67% to 73% between epochs 5 and 10 coincides with backbone unfreezing, confirming that backbone adaptation is necessary.</w:t>
      </w:r>
    </w:p>
    <w:p>
      <w:pPr>
        <w:pStyle w:val="Heading2"/>
      </w:pPr>
      <w:r>
        <w:t>6.4  Per-Method Classification Performance</w:t>
      </w:r>
    </w:p>
    <w:p>
      <w:pPr>
        <w:jc w:val="center"/>
      </w:pPr>
      <w:r>
        <w:rPr>
          <w:b/>
          <w:sz w:val="20"/>
        </w:rPr>
        <w:t>Table 6.4: Per-method performance on test set (n=15). INVALID is the positive class.</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tcPr>
          <w:p>
            <w:r>
              <w:rPr>
                <w:b/>
                <w:sz w:val="20"/>
              </w:rPr>
              <w:t>Method</w:t>
            </w:r>
          </w:p>
        </w:tc>
        <w:tc>
          <w:tcPr>
            <w:tcW w:type="dxa" w:w="1014"/>
          </w:tcPr>
          <w:p>
            <w:r>
              <w:rPr>
                <w:b/>
                <w:sz w:val="20"/>
              </w:rPr>
              <w:t>TP</w:t>
            </w:r>
          </w:p>
        </w:tc>
        <w:tc>
          <w:tcPr>
            <w:tcW w:type="dxa" w:w="1014"/>
          </w:tcPr>
          <w:p>
            <w:r>
              <w:rPr>
                <w:b/>
                <w:sz w:val="20"/>
              </w:rPr>
              <w:t>FP</w:t>
            </w:r>
          </w:p>
        </w:tc>
        <w:tc>
          <w:tcPr>
            <w:tcW w:type="dxa" w:w="1014"/>
          </w:tcPr>
          <w:p>
            <w:r>
              <w:rPr>
                <w:b/>
                <w:sz w:val="20"/>
              </w:rPr>
              <w:t>FN</w:t>
            </w:r>
          </w:p>
        </w:tc>
        <w:tc>
          <w:tcPr>
            <w:tcW w:type="dxa" w:w="1014"/>
          </w:tcPr>
          <w:p>
            <w:r>
              <w:rPr>
                <w:b/>
                <w:sz w:val="20"/>
              </w:rPr>
              <w:t>TN</w:t>
            </w:r>
          </w:p>
        </w:tc>
        <w:tc>
          <w:tcPr>
            <w:tcW w:type="dxa" w:w="1014"/>
          </w:tcPr>
          <w:p>
            <w:r>
              <w:rPr>
                <w:b/>
                <w:sz w:val="20"/>
              </w:rPr>
              <w:t>Precision</w:t>
            </w:r>
          </w:p>
        </w:tc>
        <w:tc>
          <w:tcPr>
            <w:tcW w:type="dxa" w:w="1014"/>
          </w:tcPr>
          <w:p>
            <w:r>
              <w:rPr>
                <w:b/>
                <w:sz w:val="20"/>
              </w:rPr>
              <w:t>Recall</w:t>
            </w:r>
          </w:p>
        </w:tc>
        <w:tc>
          <w:tcPr>
            <w:tcW w:type="dxa" w:w="1014"/>
          </w:tcPr>
          <w:p>
            <w:r>
              <w:rPr>
                <w:b/>
                <w:sz w:val="20"/>
              </w:rPr>
              <w:t>F1</w:t>
            </w:r>
          </w:p>
        </w:tc>
        <w:tc>
          <w:tcPr>
            <w:tcW w:type="dxa" w:w="1014"/>
          </w:tcPr>
          <w:p>
            <w:r>
              <w:rPr>
                <w:b/>
                <w:sz w:val="20"/>
              </w:rPr>
              <w:t>Accuracy</w:t>
            </w:r>
          </w:p>
        </w:tc>
      </w:tr>
      <w:tr>
        <w:tc>
          <w:tcPr>
            <w:tcW w:type="dxa" w:w="1014"/>
          </w:tcPr>
          <w:p>
            <w:r>
              <w:rPr>
                <w:sz w:val="20"/>
              </w:rPr>
              <w:t>Pixel diff (baseline)</w:t>
            </w:r>
          </w:p>
        </w:tc>
        <w:tc>
          <w:tcPr>
            <w:tcW w:type="dxa" w:w="1014"/>
          </w:tcPr>
          <w:p>
            <w:r>
              <w:rPr>
                <w:sz w:val="20"/>
              </w:rPr>
              <w:t>5</w:t>
            </w:r>
          </w:p>
        </w:tc>
        <w:tc>
          <w:tcPr>
            <w:tcW w:type="dxa" w:w="1014"/>
          </w:tcPr>
          <w:p>
            <w:r>
              <w:rPr>
                <w:sz w:val="20"/>
              </w:rPr>
              <w:t>2</w:t>
            </w:r>
          </w:p>
        </w:tc>
        <w:tc>
          <w:tcPr>
            <w:tcW w:type="dxa" w:w="1014"/>
          </w:tcPr>
          <w:p>
            <w:r>
              <w:rPr>
                <w:sz w:val="20"/>
              </w:rPr>
              <w:t>2</w:t>
            </w:r>
          </w:p>
        </w:tc>
        <w:tc>
          <w:tcPr>
            <w:tcW w:type="dxa" w:w="1014"/>
          </w:tcPr>
          <w:p>
            <w:r>
              <w:rPr>
                <w:sz w:val="20"/>
              </w:rPr>
              <w:t>6</w:t>
            </w:r>
          </w:p>
        </w:tc>
        <w:tc>
          <w:tcPr>
            <w:tcW w:type="dxa" w:w="1014"/>
          </w:tcPr>
          <w:p>
            <w:r>
              <w:rPr>
                <w:sz w:val="20"/>
              </w:rPr>
              <w:t>0.714</w:t>
            </w:r>
          </w:p>
        </w:tc>
        <w:tc>
          <w:tcPr>
            <w:tcW w:type="dxa" w:w="1014"/>
          </w:tcPr>
          <w:p>
            <w:r>
              <w:rPr>
                <w:sz w:val="20"/>
              </w:rPr>
              <w:t>0.714</w:t>
            </w:r>
          </w:p>
        </w:tc>
        <w:tc>
          <w:tcPr>
            <w:tcW w:type="dxa" w:w="1014"/>
          </w:tcPr>
          <w:p>
            <w:r>
              <w:rPr>
                <w:sz w:val="20"/>
              </w:rPr>
              <w:t>0.714</w:t>
            </w:r>
          </w:p>
        </w:tc>
        <w:tc>
          <w:tcPr>
            <w:tcW w:type="dxa" w:w="1014"/>
          </w:tcPr>
          <w:p>
            <w:r>
              <w:rPr>
                <w:sz w:val="20"/>
              </w:rPr>
              <w:t>73.3%</w:t>
            </w:r>
          </w:p>
        </w:tc>
      </w:tr>
      <w:tr>
        <w:tc>
          <w:tcPr>
            <w:tcW w:type="dxa" w:w="1014"/>
          </w:tcPr>
          <w:p>
            <w:r>
              <w:rPr>
                <w:sz w:val="20"/>
              </w:rPr>
              <w:t>SSIM (τ=0.82)</w:t>
            </w:r>
          </w:p>
        </w:tc>
        <w:tc>
          <w:tcPr>
            <w:tcW w:type="dxa" w:w="1014"/>
          </w:tcPr>
          <w:p>
            <w:r>
              <w:rPr>
                <w:sz w:val="20"/>
              </w:rPr>
              <w:t>5</w:t>
            </w:r>
          </w:p>
        </w:tc>
        <w:tc>
          <w:tcPr>
            <w:tcW w:type="dxa" w:w="1014"/>
          </w:tcPr>
          <w:p>
            <w:r>
              <w:rPr>
                <w:sz w:val="20"/>
              </w:rPr>
              <w:t>1</w:t>
            </w:r>
          </w:p>
        </w:tc>
        <w:tc>
          <w:tcPr>
            <w:tcW w:type="dxa" w:w="1014"/>
          </w:tcPr>
          <w:p>
            <w:r>
              <w:rPr>
                <w:sz w:val="20"/>
              </w:rPr>
              <w:t>2</w:t>
            </w:r>
          </w:p>
        </w:tc>
        <w:tc>
          <w:tcPr>
            <w:tcW w:type="dxa" w:w="1014"/>
          </w:tcPr>
          <w:p>
            <w:r>
              <w:rPr>
                <w:sz w:val="20"/>
              </w:rPr>
              <w:t>7</w:t>
            </w:r>
          </w:p>
        </w:tc>
        <w:tc>
          <w:tcPr>
            <w:tcW w:type="dxa" w:w="1014"/>
          </w:tcPr>
          <w:p>
            <w:r>
              <w:rPr>
                <w:sz w:val="20"/>
              </w:rPr>
              <w:t>0.833</w:t>
            </w:r>
          </w:p>
        </w:tc>
        <w:tc>
          <w:tcPr>
            <w:tcW w:type="dxa" w:w="1014"/>
          </w:tcPr>
          <w:p>
            <w:r>
              <w:rPr>
                <w:sz w:val="20"/>
              </w:rPr>
              <w:t>0.714</w:t>
            </w:r>
          </w:p>
        </w:tc>
        <w:tc>
          <w:tcPr>
            <w:tcW w:type="dxa" w:w="1014"/>
          </w:tcPr>
          <w:p>
            <w:r>
              <w:rPr>
                <w:sz w:val="20"/>
              </w:rPr>
              <w:t>0.769</w:t>
            </w:r>
          </w:p>
        </w:tc>
        <w:tc>
          <w:tcPr>
            <w:tcW w:type="dxa" w:w="1014"/>
          </w:tcPr>
          <w:p>
            <w:r>
              <w:rPr>
                <w:sz w:val="20"/>
              </w:rPr>
              <w:t>80.0%</w:t>
            </w:r>
          </w:p>
        </w:tc>
      </w:tr>
      <w:tr>
        <w:tc>
          <w:tcPr>
            <w:tcW w:type="dxa" w:w="1014"/>
          </w:tcPr>
          <w:p>
            <w:r>
              <w:rPr>
                <w:sz w:val="20"/>
              </w:rPr>
              <w:t>ORB (r_in &lt; 0.60)</w:t>
            </w:r>
          </w:p>
        </w:tc>
        <w:tc>
          <w:tcPr>
            <w:tcW w:type="dxa" w:w="1014"/>
          </w:tcPr>
          <w:p>
            <w:r>
              <w:rPr>
                <w:sz w:val="20"/>
              </w:rPr>
              <w:t>5</w:t>
            </w:r>
          </w:p>
        </w:tc>
        <w:tc>
          <w:tcPr>
            <w:tcW w:type="dxa" w:w="1014"/>
          </w:tcPr>
          <w:p>
            <w:r>
              <w:rPr>
                <w:sz w:val="20"/>
              </w:rPr>
              <w:t>1</w:t>
            </w:r>
          </w:p>
        </w:tc>
        <w:tc>
          <w:tcPr>
            <w:tcW w:type="dxa" w:w="1014"/>
          </w:tcPr>
          <w:p>
            <w:r>
              <w:rPr>
                <w:sz w:val="20"/>
              </w:rPr>
              <w:t>1</w:t>
            </w:r>
          </w:p>
        </w:tc>
        <w:tc>
          <w:tcPr>
            <w:tcW w:type="dxa" w:w="1014"/>
          </w:tcPr>
          <w:p>
            <w:r>
              <w:rPr>
                <w:sz w:val="20"/>
              </w:rPr>
              <w:t>7</w:t>
            </w:r>
          </w:p>
        </w:tc>
        <w:tc>
          <w:tcPr>
            <w:tcW w:type="dxa" w:w="1014"/>
          </w:tcPr>
          <w:p>
            <w:r>
              <w:rPr>
                <w:sz w:val="20"/>
              </w:rPr>
              <w:t>0.833</w:t>
            </w:r>
          </w:p>
        </w:tc>
        <w:tc>
          <w:tcPr>
            <w:tcW w:type="dxa" w:w="1014"/>
          </w:tcPr>
          <w:p>
            <w:r>
              <w:rPr>
                <w:sz w:val="20"/>
              </w:rPr>
              <w:t>0.833</w:t>
            </w:r>
          </w:p>
        </w:tc>
        <w:tc>
          <w:tcPr>
            <w:tcW w:type="dxa" w:w="1014"/>
          </w:tcPr>
          <w:p>
            <w:r>
              <w:rPr>
                <w:sz w:val="20"/>
              </w:rPr>
              <w:t>0.833</w:t>
            </w:r>
          </w:p>
        </w:tc>
        <w:tc>
          <w:tcPr>
            <w:tcW w:type="dxa" w:w="1014"/>
          </w:tcPr>
          <w:p>
            <w:r>
              <w:rPr>
                <w:sz w:val="20"/>
              </w:rPr>
              <w:t>86.7%</w:t>
            </w:r>
          </w:p>
        </w:tc>
      </w:tr>
      <w:tr>
        <w:tc>
          <w:tcPr>
            <w:tcW w:type="dxa" w:w="1014"/>
          </w:tcPr>
          <w:p>
            <w:r>
              <w:rPr>
                <w:sz w:val="20"/>
              </w:rPr>
              <w:t>ResNet-50</w:t>
            </w:r>
          </w:p>
        </w:tc>
        <w:tc>
          <w:tcPr>
            <w:tcW w:type="dxa" w:w="1014"/>
          </w:tcPr>
          <w:p>
            <w:r>
              <w:rPr>
                <w:sz w:val="20"/>
              </w:rPr>
              <w:t>6</w:t>
            </w:r>
          </w:p>
        </w:tc>
        <w:tc>
          <w:tcPr>
            <w:tcW w:type="dxa" w:w="1014"/>
          </w:tcPr>
          <w:p>
            <w:r>
              <w:rPr>
                <w:sz w:val="20"/>
              </w:rPr>
              <w:t>1</w:t>
            </w:r>
          </w:p>
        </w:tc>
        <w:tc>
          <w:tcPr>
            <w:tcW w:type="dxa" w:w="1014"/>
          </w:tcPr>
          <w:p>
            <w:r>
              <w:rPr>
                <w:sz w:val="20"/>
              </w:rPr>
              <w:t>1</w:t>
            </w:r>
          </w:p>
        </w:tc>
        <w:tc>
          <w:tcPr>
            <w:tcW w:type="dxa" w:w="1014"/>
          </w:tcPr>
          <w:p>
            <w:r>
              <w:rPr>
                <w:sz w:val="20"/>
              </w:rPr>
              <w:t>7</w:t>
            </w:r>
          </w:p>
        </w:tc>
        <w:tc>
          <w:tcPr>
            <w:tcW w:type="dxa" w:w="1014"/>
          </w:tcPr>
          <w:p>
            <w:r>
              <w:rPr>
                <w:sz w:val="20"/>
              </w:rPr>
              <w:t>0.857</w:t>
            </w:r>
          </w:p>
        </w:tc>
        <w:tc>
          <w:tcPr>
            <w:tcW w:type="dxa" w:w="1014"/>
          </w:tcPr>
          <w:p>
            <w:r>
              <w:rPr>
                <w:sz w:val="20"/>
              </w:rPr>
              <w:t>0.857</w:t>
            </w:r>
          </w:p>
        </w:tc>
        <w:tc>
          <w:tcPr>
            <w:tcW w:type="dxa" w:w="1014"/>
          </w:tcPr>
          <w:p>
            <w:r>
              <w:rPr>
                <w:sz w:val="20"/>
              </w:rPr>
              <w:t>0.857</w:t>
            </w:r>
          </w:p>
        </w:tc>
        <w:tc>
          <w:tcPr>
            <w:tcW w:type="dxa" w:w="1014"/>
          </w:tcPr>
          <w:p>
            <w:r>
              <w:rPr>
                <w:sz w:val="20"/>
              </w:rPr>
              <w:t>86.7%</w:t>
            </w:r>
          </w:p>
        </w:tc>
      </w:tr>
      <w:tr>
        <w:tc>
          <w:tcPr>
            <w:tcW w:type="dxa" w:w="1014"/>
          </w:tcPr>
          <w:p>
            <w:r>
              <w:rPr>
                <w:sz w:val="20"/>
              </w:rPr>
              <w:t>Siamese</w:t>
            </w:r>
          </w:p>
        </w:tc>
        <w:tc>
          <w:tcPr>
            <w:tcW w:type="dxa" w:w="1014"/>
          </w:tcPr>
          <w:p>
            <w:r>
              <w:rPr>
                <w:sz w:val="20"/>
              </w:rPr>
              <w:t>6</w:t>
            </w:r>
          </w:p>
        </w:tc>
        <w:tc>
          <w:tcPr>
            <w:tcW w:type="dxa" w:w="1014"/>
          </w:tcPr>
          <w:p>
            <w:r>
              <w:rPr>
                <w:sz w:val="20"/>
              </w:rPr>
              <w:t>1</w:t>
            </w:r>
          </w:p>
        </w:tc>
        <w:tc>
          <w:tcPr>
            <w:tcW w:type="dxa" w:w="1014"/>
          </w:tcPr>
          <w:p>
            <w:r>
              <w:rPr>
                <w:sz w:val="20"/>
              </w:rPr>
              <w:t>1</w:t>
            </w:r>
          </w:p>
        </w:tc>
        <w:tc>
          <w:tcPr>
            <w:tcW w:type="dxa" w:w="1014"/>
          </w:tcPr>
          <w:p>
            <w:r>
              <w:rPr>
                <w:sz w:val="20"/>
              </w:rPr>
              <w:t>7</w:t>
            </w:r>
          </w:p>
        </w:tc>
        <w:tc>
          <w:tcPr>
            <w:tcW w:type="dxa" w:w="1014"/>
          </w:tcPr>
          <w:p>
            <w:r>
              <w:rPr>
                <w:sz w:val="20"/>
              </w:rPr>
              <w:t>0.857</w:t>
            </w:r>
          </w:p>
        </w:tc>
        <w:tc>
          <w:tcPr>
            <w:tcW w:type="dxa" w:w="1014"/>
          </w:tcPr>
          <w:p>
            <w:r>
              <w:rPr>
                <w:sz w:val="20"/>
              </w:rPr>
              <w:t>0.857</w:t>
            </w:r>
          </w:p>
        </w:tc>
        <w:tc>
          <w:tcPr>
            <w:tcW w:type="dxa" w:w="1014"/>
          </w:tcPr>
          <w:p>
            <w:r>
              <w:rPr>
                <w:sz w:val="20"/>
              </w:rPr>
              <w:t>0.857</w:t>
            </w:r>
          </w:p>
        </w:tc>
        <w:tc>
          <w:tcPr>
            <w:tcW w:type="dxa" w:w="1014"/>
          </w:tcPr>
          <w:p>
            <w:r>
              <w:rPr>
                <w:sz w:val="20"/>
              </w:rPr>
              <w:t>86.7%</w:t>
            </w:r>
          </w:p>
        </w:tc>
      </w:tr>
      <w:tr>
        <w:tc>
          <w:tcPr>
            <w:tcW w:type="dxa" w:w="1014"/>
          </w:tcPr>
          <w:p>
            <w:r>
              <w:rPr>
                <w:sz w:val="20"/>
              </w:rPr>
              <w:t>HYBRID ENSEMBLE</w:t>
            </w:r>
          </w:p>
        </w:tc>
        <w:tc>
          <w:tcPr>
            <w:tcW w:type="dxa" w:w="1014"/>
          </w:tcPr>
          <w:p>
            <w:r>
              <w:rPr>
                <w:sz w:val="20"/>
              </w:rPr>
              <w:t>6</w:t>
            </w:r>
          </w:p>
        </w:tc>
        <w:tc>
          <w:tcPr>
            <w:tcW w:type="dxa" w:w="1014"/>
          </w:tcPr>
          <w:p>
            <w:r>
              <w:rPr>
                <w:sz w:val="20"/>
              </w:rPr>
              <w:t>0</w:t>
            </w:r>
          </w:p>
        </w:tc>
        <w:tc>
          <w:tcPr>
            <w:tcW w:type="dxa" w:w="1014"/>
          </w:tcPr>
          <w:p>
            <w:r>
              <w:rPr>
                <w:sz w:val="20"/>
              </w:rPr>
              <w:t>1</w:t>
            </w:r>
          </w:p>
        </w:tc>
        <w:tc>
          <w:tcPr>
            <w:tcW w:type="dxa" w:w="1014"/>
          </w:tcPr>
          <w:p>
            <w:r>
              <w:rPr>
                <w:sz w:val="20"/>
              </w:rPr>
              <w:t>8</w:t>
            </w:r>
          </w:p>
        </w:tc>
        <w:tc>
          <w:tcPr>
            <w:tcW w:type="dxa" w:w="1014"/>
          </w:tcPr>
          <w:p>
            <w:r>
              <w:rPr>
                <w:sz w:val="20"/>
              </w:rPr>
              <w:t>1.000</w:t>
            </w:r>
          </w:p>
        </w:tc>
        <w:tc>
          <w:tcPr>
            <w:tcW w:type="dxa" w:w="1014"/>
          </w:tcPr>
          <w:p>
            <w:r>
              <w:rPr>
                <w:sz w:val="20"/>
              </w:rPr>
              <w:t>0.857</w:t>
            </w:r>
          </w:p>
        </w:tc>
        <w:tc>
          <w:tcPr>
            <w:tcW w:type="dxa" w:w="1014"/>
          </w:tcPr>
          <w:p>
            <w:r>
              <w:rPr>
                <w:sz w:val="20"/>
              </w:rPr>
              <w:t>0.923</w:t>
            </w:r>
          </w:p>
        </w:tc>
        <w:tc>
          <w:tcPr>
            <w:tcW w:type="dxa" w:w="1014"/>
          </w:tcPr>
          <w:p>
            <w:r>
              <w:rPr>
                <w:sz w:val="20"/>
              </w:rPr>
              <w:t>93.3%</w:t>
            </w:r>
          </w:p>
        </w:tc>
      </w:tr>
    </w:tbl>
    <w:p/>
    <w:p>
      <w:pPr>
        <w:jc w:val="both"/>
      </w:pPr>
      <w:r>
        <w:rPr>
          <w:b w:val="0"/>
          <w:i w:val="0"/>
          <w:sz w:val="22"/>
        </w:rPr>
        <w:t>The progression from pixel-difference (F1=0.714) through SSIM and ORB to the deep learning methods (F1=0.857) to the hybrid ensemble (F1=0.923) demonstrates that each added component provides genuine complementary value. Notably, the ensemble achieves zero false positives (Precision=1.000) — no valid production label was incorrectly flagged for re-review. This is the most operationally important result.</w:t>
      </w:r>
    </w:p>
    <w:p>
      <w:pPr>
        <w:pStyle w:val="Heading2"/>
      </w:pPr>
      <w:r>
        <w:t>6.5  Violation Localisation</w:t>
      </w:r>
    </w:p>
    <w:p>
      <w:pPr>
        <w:jc w:val="center"/>
      </w:pPr>
      <w:r>
        <w:rPr>
          <w:b/>
          <w:sz w:val="20"/>
        </w:rPr>
        <w:t>Table 6.5: Violation detection and localisation by type (test set, hybrid ensemble).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Violation Type</w:t>
            </w:r>
          </w:p>
        </w:tc>
        <w:tc>
          <w:tcPr>
            <w:tcW w:type="dxa" w:w="1824"/>
          </w:tcPr>
          <w:p>
            <w:r>
              <w:rPr>
                <w:b/>
                <w:sz w:val="20"/>
              </w:rPr>
              <w:t>Detected (test set)</w:t>
            </w:r>
          </w:p>
        </w:tc>
        <w:tc>
          <w:tcPr>
            <w:tcW w:type="dxa" w:w="1824"/>
          </w:tcPr>
          <w:p>
            <w:r>
              <w:rPr>
                <w:b/>
                <w:sz w:val="20"/>
              </w:rPr>
              <w:t>Localised (IoU&gt;0.5)</w:t>
            </w:r>
          </w:p>
        </w:tc>
        <w:tc>
          <w:tcPr>
            <w:tcW w:type="dxa" w:w="1824"/>
          </w:tcPr>
          <w:p>
            <w:r>
              <w:rPr>
                <w:b/>
                <w:sz w:val="20"/>
              </w:rPr>
              <w:t>Mean IoU</w:t>
            </w:r>
          </w:p>
        </w:tc>
        <w:tc>
          <w:tcPr>
            <w:tcW w:type="dxa" w:w="1824"/>
          </w:tcPr>
          <w:p>
            <w:r>
              <w:rPr>
                <w:b/>
                <w:sz w:val="20"/>
              </w:rPr>
              <w:t>Localisation Method</w:t>
            </w:r>
          </w:p>
        </w:tc>
      </w:tr>
      <w:tr>
        <w:tc>
          <w:tcPr>
            <w:tcW w:type="dxa" w:w="1824"/>
          </w:tcPr>
          <w:p>
            <w:r>
              <w:rPr>
                <w:sz w:val="20"/>
              </w:rPr>
              <w:t>V1 — Displacement</w:t>
            </w:r>
          </w:p>
        </w:tc>
        <w:tc>
          <w:tcPr>
            <w:tcW w:type="dxa" w:w="1824"/>
          </w:tcPr>
          <w:p>
            <w:r>
              <w:rPr>
                <w:sz w:val="20"/>
              </w:rPr>
              <w:t>2/2</w:t>
            </w:r>
          </w:p>
        </w:tc>
        <w:tc>
          <w:tcPr>
            <w:tcW w:type="dxa" w:w="1824"/>
          </w:tcPr>
          <w:p>
            <w:r>
              <w:rPr>
                <w:sz w:val="20"/>
              </w:rPr>
              <w:t>2/2</w:t>
            </w:r>
          </w:p>
        </w:tc>
        <w:tc>
          <w:tcPr>
            <w:tcW w:type="dxa" w:w="1824"/>
          </w:tcPr>
          <w:p>
            <w:r>
              <w:rPr>
                <w:sz w:val="20"/>
              </w:rPr>
              <w:t>0.81</w:t>
            </w:r>
          </w:p>
        </w:tc>
        <w:tc>
          <w:tcPr>
            <w:tcW w:type="dxa" w:w="1824"/>
          </w:tcPr>
          <w:p>
            <w:r>
              <w:rPr>
                <w:sz w:val="20"/>
              </w:rPr>
              <w:t>SSIM map + ORB unmatched keypoints</w:t>
            </w:r>
          </w:p>
        </w:tc>
      </w:tr>
      <w:tr>
        <w:tc>
          <w:tcPr>
            <w:tcW w:type="dxa" w:w="1824"/>
          </w:tcPr>
          <w:p>
            <w:r>
              <w:rPr>
                <w:sz w:val="20"/>
              </w:rPr>
              <w:t>V2 — Missing field</w:t>
            </w:r>
          </w:p>
        </w:tc>
        <w:tc>
          <w:tcPr>
            <w:tcW w:type="dxa" w:w="1824"/>
          </w:tcPr>
          <w:p>
            <w:r>
              <w:rPr>
                <w:sz w:val="20"/>
              </w:rPr>
              <w:t>1/1</w:t>
            </w:r>
          </w:p>
        </w:tc>
        <w:tc>
          <w:tcPr>
            <w:tcW w:type="dxa" w:w="1824"/>
          </w:tcPr>
          <w:p>
            <w:r>
              <w:rPr>
                <w:sz w:val="20"/>
              </w:rPr>
              <w:t>1/1</w:t>
            </w:r>
          </w:p>
        </w:tc>
        <w:tc>
          <w:tcPr>
            <w:tcW w:type="dxa" w:w="1824"/>
          </w:tcPr>
          <w:p>
            <w:r>
              <w:rPr>
                <w:sz w:val="20"/>
              </w:rPr>
              <w:t>0.77</w:t>
            </w:r>
          </w:p>
        </w:tc>
        <w:tc>
          <w:tcPr>
            <w:tcW w:type="dxa" w:w="1824"/>
          </w:tcPr>
          <w:p>
            <w:r>
              <w:rPr>
                <w:sz w:val="20"/>
              </w:rPr>
              <w:t>SSIM map (blank region) + Grad-CAM</w:t>
            </w:r>
          </w:p>
        </w:tc>
      </w:tr>
      <w:tr>
        <w:tc>
          <w:tcPr>
            <w:tcW w:type="dxa" w:w="1824"/>
          </w:tcPr>
          <w:p>
            <w:r>
              <w:rPr>
                <w:sz w:val="20"/>
              </w:rPr>
              <w:t>V3 — Font size</w:t>
            </w:r>
          </w:p>
        </w:tc>
        <w:tc>
          <w:tcPr>
            <w:tcW w:type="dxa" w:w="1824"/>
          </w:tcPr>
          <w:p>
            <w:r>
              <w:rPr>
                <w:sz w:val="20"/>
              </w:rPr>
              <w:t>1/1</w:t>
            </w:r>
          </w:p>
        </w:tc>
        <w:tc>
          <w:tcPr>
            <w:tcW w:type="dxa" w:w="1824"/>
          </w:tcPr>
          <w:p>
            <w:r>
              <w:rPr>
                <w:sz w:val="20"/>
              </w:rPr>
              <w:t>1/1</w:t>
            </w:r>
          </w:p>
        </w:tc>
        <w:tc>
          <w:tcPr>
            <w:tcW w:type="dxa" w:w="1824"/>
          </w:tcPr>
          <w:p>
            <w:r>
              <w:rPr>
                <w:sz w:val="20"/>
              </w:rPr>
              <w:t>0.69</w:t>
            </w:r>
          </w:p>
        </w:tc>
        <w:tc>
          <w:tcPr>
            <w:tcW w:type="dxa" w:w="1824"/>
          </w:tcPr>
          <w:p>
            <w:r>
              <w:rPr>
                <w:sz w:val="20"/>
              </w:rPr>
              <w:t>SSIM map + Grad-CAM</w:t>
            </w:r>
          </w:p>
        </w:tc>
      </w:tr>
      <w:tr>
        <w:tc>
          <w:tcPr>
            <w:tcW w:type="dxa" w:w="1824"/>
          </w:tcPr>
          <w:p>
            <w:r>
              <w:rPr>
                <w:sz w:val="20"/>
              </w:rPr>
              <w:t>V4 — Barcode overlap</w:t>
            </w:r>
          </w:p>
        </w:tc>
        <w:tc>
          <w:tcPr>
            <w:tcW w:type="dxa" w:w="1824"/>
          </w:tcPr>
          <w:p>
            <w:r>
              <w:rPr>
                <w:sz w:val="20"/>
              </w:rPr>
              <w:t>1/1</w:t>
            </w:r>
          </w:p>
        </w:tc>
        <w:tc>
          <w:tcPr>
            <w:tcW w:type="dxa" w:w="1824"/>
          </w:tcPr>
          <w:p>
            <w:r>
              <w:rPr>
                <w:sz w:val="20"/>
              </w:rPr>
              <w:t>1/1</w:t>
            </w:r>
          </w:p>
        </w:tc>
        <w:tc>
          <w:tcPr>
            <w:tcW w:type="dxa" w:w="1824"/>
          </w:tcPr>
          <w:p>
            <w:r>
              <w:rPr>
                <w:sz w:val="20"/>
              </w:rPr>
              <w:t>0.74</w:t>
            </w:r>
          </w:p>
        </w:tc>
        <w:tc>
          <w:tcPr>
            <w:tcW w:type="dxa" w:w="1824"/>
          </w:tcPr>
          <w:p>
            <w:r>
              <w:rPr>
                <w:sz w:val="20"/>
              </w:rPr>
              <w:t>SSIM map + ORB</w:t>
            </w:r>
          </w:p>
        </w:tc>
      </w:tr>
      <w:tr>
        <w:tc>
          <w:tcPr>
            <w:tcW w:type="dxa" w:w="1824"/>
          </w:tcPr>
          <w:p>
            <w:r>
              <w:rPr>
                <w:sz w:val="20"/>
              </w:rPr>
              <w:t>V6 — Colour mismatch</w:t>
            </w:r>
          </w:p>
        </w:tc>
        <w:tc>
          <w:tcPr>
            <w:tcW w:type="dxa" w:w="1824"/>
          </w:tcPr>
          <w:p>
            <w:r>
              <w:rPr>
                <w:sz w:val="20"/>
              </w:rPr>
              <w:t>0/1</w:t>
            </w:r>
          </w:p>
        </w:tc>
        <w:tc>
          <w:tcPr>
            <w:tcW w:type="dxa" w:w="1824"/>
          </w:tcPr>
          <w:p>
            <w:r>
              <w:rPr>
                <w:sz w:val="20"/>
              </w:rPr>
              <w:t>0/1</w:t>
            </w:r>
          </w:p>
        </w:tc>
        <w:tc>
          <w:tcPr>
            <w:tcW w:type="dxa" w:w="1824"/>
          </w:tcPr>
          <w:p>
            <w:r>
              <w:rPr>
                <w:sz w:val="20"/>
              </w:rPr>
              <w:t>—</w:t>
            </w:r>
          </w:p>
        </w:tc>
        <w:tc>
          <w:tcPr>
            <w:tcW w:type="dxa" w:w="1824"/>
          </w:tcPr>
          <w:p>
            <w:r>
              <w:rPr>
                <w:sz w:val="20"/>
              </w:rPr>
              <w:t>NOT DETECTED (all methods failed)</w:t>
            </w:r>
          </w:p>
        </w:tc>
      </w:tr>
      <w:tr>
        <w:tc>
          <w:tcPr>
            <w:tcW w:type="dxa" w:w="1824"/>
          </w:tcPr>
          <w:p>
            <w:r>
              <w:rPr>
                <w:sz w:val="20"/>
              </w:rPr>
              <w:t>V7 — Extra element</w:t>
            </w:r>
          </w:p>
        </w:tc>
        <w:tc>
          <w:tcPr>
            <w:tcW w:type="dxa" w:w="1824"/>
          </w:tcPr>
          <w:p>
            <w:r>
              <w:rPr>
                <w:sz w:val="20"/>
              </w:rPr>
              <w:t>1/1</w:t>
            </w:r>
          </w:p>
        </w:tc>
        <w:tc>
          <w:tcPr>
            <w:tcW w:type="dxa" w:w="1824"/>
          </w:tcPr>
          <w:p>
            <w:r>
              <w:rPr>
                <w:sz w:val="20"/>
              </w:rPr>
              <w:t>0/1</w:t>
            </w:r>
          </w:p>
        </w:tc>
        <w:tc>
          <w:tcPr>
            <w:tcW w:type="dxa" w:w="1824"/>
          </w:tcPr>
          <w:p>
            <w:r>
              <w:rPr>
                <w:sz w:val="20"/>
              </w:rPr>
              <w:t>0.42</w:t>
            </w:r>
          </w:p>
        </w:tc>
        <w:tc>
          <w:tcPr>
            <w:tcW w:type="dxa" w:w="1824"/>
          </w:tcPr>
          <w:p>
            <w:r>
              <w:rPr>
                <w:sz w:val="20"/>
              </w:rPr>
              <w:t>Detected INVALID; Grad-CAM imprecise</w:t>
            </w:r>
          </w:p>
        </w:tc>
      </w:tr>
      <w:tr>
        <w:tc>
          <w:tcPr>
            <w:tcW w:type="dxa" w:w="1824"/>
          </w:tcPr>
          <w:p>
            <w:r>
              <w:rPr>
                <w:sz w:val="20"/>
              </w:rPr>
              <w:t>TOTAL</w:t>
            </w:r>
          </w:p>
        </w:tc>
        <w:tc>
          <w:tcPr>
            <w:tcW w:type="dxa" w:w="1824"/>
          </w:tcPr>
          <w:p>
            <w:r>
              <w:rPr>
                <w:sz w:val="20"/>
              </w:rPr>
              <w:t>6/7</w:t>
            </w:r>
          </w:p>
        </w:tc>
        <w:tc>
          <w:tcPr>
            <w:tcW w:type="dxa" w:w="1824"/>
          </w:tcPr>
          <w:p>
            <w:r>
              <w:rPr>
                <w:sz w:val="20"/>
              </w:rPr>
              <w:t>5/6</w:t>
            </w:r>
          </w:p>
        </w:tc>
        <w:tc>
          <w:tcPr>
            <w:tcW w:type="dxa" w:w="1824"/>
          </w:tcPr>
          <w:p>
            <w:r>
              <w:rPr>
                <w:sz w:val="20"/>
              </w:rPr>
              <w:t>0.72</w:t>
            </w:r>
          </w:p>
        </w:tc>
        <w:tc>
          <w:tcPr>
            <w:tcW w:type="dxa" w:w="1824"/>
          </w:tcPr>
          <w:p>
            <w:r>
              <w:rPr>
                <w:sz w:val="20"/>
              </w:rPr>
              <w:t>—</w:t>
            </w:r>
          </w:p>
        </w:tc>
      </w:tr>
    </w:tbl>
    <w:p/>
    <w:p>
      <w:pPr>
        <w:jc w:val="both"/>
      </w:pPr>
      <w:r>
        <w:rPr>
          <w:b w:val="0"/>
          <w:i w:val="0"/>
          <w:sz w:val="22"/>
        </w:rPr>
        <w:t>The V7 (extra element) localisation failure (IoU=0.42) is systematic: Grad-CAM activates on the visual context surrounding an extra element rather than the element itself, because the classifier has learned that 'something is wrong in this general area' rather than 'specifically this bounding box'. A dedicated object detection head would improve this.</w:t>
      </w:r>
    </w:p>
    <w:p>
      <w:pPr>
        <w:pStyle w:val="Heading2"/>
      </w:pPr>
      <w:r>
        <w:t>6.6  Processing Time</w:t>
      </w:r>
    </w:p>
    <w:p>
      <w:pPr>
        <w:jc w:val="center"/>
      </w:pPr>
      <w:r>
        <w:rPr>
          <w:b/>
          <w:sz w:val="20"/>
        </w:rPr>
        <w:t>Table 6.6: Per-stage processing time. Tier 3 methods are designed to run in parallel in a production deployment.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Stage</w:t>
            </w:r>
          </w:p>
        </w:tc>
        <w:tc>
          <w:tcPr>
            <w:tcW w:type="dxa" w:w="1824"/>
          </w:tcPr>
          <w:p>
            <w:r>
              <w:rPr>
                <w:b/>
                <w:sz w:val="20"/>
              </w:rPr>
              <w:t>Median (ms)</w:t>
            </w:r>
          </w:p>
        </w:tc>
        <w:tc>
          <w:tcPr>
            <w:tcW w:type="dxa" w:w="1824"/>
          </w:tcPr>
          <w:p>
            <w:r>
              <w:rPr>
                <w:b/>
                <w:sz w:val="20"/>
              </w:rPr>
              <w:t>P95 (ms)</w:t>
            </w:r>
          </w:p>
        </w:tc>
        <w:tc>
          <w:tcPr>
            <w:tcW w:type="dxa" w:w="1824"/>
          </w:tcPr>
          <w:p>
            <w:r>
              <w:rPr>
                <w:b/>
                <w:sz w:val="20"/>
              </w:rPr>
              <w:t>% of Total</w:t>
            </w:r>
          </w:p>
        </w:tc>
        <w:tc>
          <w:tcPr>
            <w:tcW w:type="dxa" w:w="1824"/>
          </w:tcPr>
          <w:p>
            <w:r>
              <w:rPr>
                <w:b/>
                <w:sz w:val="20"/>
              </w:rPr>
              <w:t>Parallelisable?</w:t>
            </w:r>
          </w:p>
        </w:tc>
      </w:tr>
      <w:tr>
        <w:tc>
          <w:tcPr>
            <w:tcW w:type="dxa" w:w="1824"/>
          </w:tcPr>
          <w:p>
            <w:r>
              <w:rPr>
                <w:sz w:val="20"/>
              </w:rPr>
              <w:t>JSON parse + rule check</w:t>
            </w:r>
          </w:p>
        </w:tc>
        <w:tc>
          <w:tcPr>
            <w:tcW w:type="dxa" w:w="1824"/>
          </w:tcPr>
          <w:p>
            <w:r>
              <w:rPr>
                <w:sz w:val="20"/>
              </w:rPr>
              <w:t>12</w:t>
            </w:r>
          </w:p>
        </w:tc>
        <w:tc>
          <w:tcPr>
            <w:tcW w:type="dxa" w:w="1824"/>
          </w:tcPr>
          <w:p>
            <w:r>
              <w:rPr>
                <w:sz w:val="20"/>
              </w:rPr>
              <w:t>28</w:t>
            </w:r>
          </w:p>
        </w:tc>
        <w:tc>
          <w:tcPr>
            <w:tcW w:type="dxa" w:w="1824"/>
          </w:tcPr>
          <w:p>
            <w:r>
              <w:rPr>
                <w:sz w:val="20"/>
              </w:rPr>
              <w:t>3%</w:t>
            </w:r>
          </w:p>
        </w:tc>
        <w:tc>
          <w:tcPr>
            <w:tcW w:type="dxa" w:w="1824"/>
          </w:tcPr>
          <w:p>
            <w:r>
              <w:rPr>
                <w:sz w:val="20"/>
              </w:rPr>
              <w:t>No (Tier 1 must complete first)</w:t>
            </w:r>
          </w:p>
        </w:tc>
      </w:tr>
      <w:tr>
        <w:tc>
          <w:tcPr>
            <w:tcW w:type="dxa" w:w="1824"/>
          </w:tcPr>
          <w:p>
            <w:r>
              <w:rPr>
                <w:sz w:val="20"/>
              </w:rPr>
              <w:t>NiceLabel SDK render</w:t>
            </w:r>
          </w:p>
        </w:tc>
        <w:tc>
          <w:tcPr>
            <w:tcW w:type="dxa" w:w="1824"/>
          </w:tcPr>
          <w:p>
            <w:r>
              <w:rPr>
                <w:sz w:val="20"/>
              </w:rPr>
              <w:t>143</w:t>
            </w:r>
          </w:p>
        </w:tc>
        <w:tc>
          <w:tcPr>
            <w:tcW w:type="dxa" w:w="1824"/>
          </w:tcPr>
          <w:p>
            <w:r>
              <w:rPr>
                <w:sz w:val="20"/>
              </w:rPr>
              <w:t>312</w:t>
            </w:r>
          </w:p>
        </w:tc>
        <w:tc>
          <w:tcPr>
            <w:tcW w:type="dxa" w:w="1824"/>
          </w:tcPr>
          <w:p>
            <w:r>
              <w:rPr>
                <w:sz w:val="20"/>
              </w:rPr>
              <w:t>36%</w:t>
            </w:r>
          </w:p>
        </w:tc>
        <w:tc>
          <w:tcPr>
            <w:tcW w:type="dxa" w:w="1824"/>
          </w:tcPr>
          <w:p>
            <w:r>
              <w:rPr>
                <w:sz w:val="20"/>
              </w:rPr>
              <w:t>No (blocking)</w:t>
            </w:r>
          </w:p>
        </w:tc>
      </w:tr>
      <w:tr>
        <w:tc>
          <w:tcPr>
            <w:tcW w:type="dxa" w:w="1824"/>
          </w:tcPr>
          <w:p>
            <w:r>
              <w:rPr>
                <w:sz w:val="20"/>
              </w:rPr>
              <w:t>SSIM comparison</w:t>
            </w:r>
          </w:p>
        </w:tc>
        <w:tc>
          <w:tcPr>
            <w:tcW w:type="dxa" w:w="1824"/>
          </w:tcPr>
          <w:p>
            <w:r>
              <w:rPr>
                <w:sz w:val="20"/>
              </w:rPr>
              <w:t>18</w:t>
            </w:r>
          </w:p>
        </w:tc>
        <w:tc>
          <w:tcPr>
            <w:tcW w:type="dxa" w:w="1824"/>
          </w:tcPr>
          <w:p>
            <w:r>
              <w:rPr>
                <w:sz w:val="20"/>
              </w:rPr>
              <w:t>41</w:t>
            </w:r>
          </w:p>
        </w:tc>
        <w:tc>
          <w:tcPr>
            <w:tcW w:type="dxa" w:w="1824"/>
          </w:tcPr>
          <w:p>
            <w:r>
              <w:rPr>
                <w:sz w:val="20"/>
              </w:rPr>
              <w:t>4%</w:t>
            </w:r>
          </w:p>
        </w:tc>
        <w:tc>
          <w:tcPr>
            <w:tcW w:type="dxa" w:w="1824"/>
          </w:tcPr>
          <w:p>
            <w:r>
              <w:rPr>
                <w:sz w:val="20"/>
              </w:rPr>
              <w:t>Yes (Tier 3 parallel)</w:t>
            </w:r>
          </w:p>
        </w:tc>
      </w:tr>
      <w:tr>
        <w:tc>
          <w:tcPr>
            <w:tcW w:type="dxa" w:w="1824"/>
          </w:tcPr>
          <w:p>
            <w:r>
              <w:rPr>
                <w:sz w:val="20"/>
              </w:rPr>
              <w:t>ORB feature matching</w:t>
            </w:r>
          </w:p>
        </w:tc>
        <w:tc>
          <w:tcPr>
            <w:tcW w:type="dxa" w:w="1824"/>
          </w:tcPr>
          <w:p>
            <w:r>
              <w:rPr>
                <w:sz w:val="20"/>
              </w:rPr>
              <w:t>34</w:t>
            </w:r>
          </w:p>
        </w:tc>
        <w:tc>
          <w:tcPr>
            <w:tcW w:type="dxa" w:w="1824"/>
          </w:tcPr>
          <w:p>
            <w:r>
              <w:rPr>
                <w:sz w:val="20"/>
              </w:rPr>
              <w:t>78</w:t>
            </w:r>
          </w:p>
        </w:tc>
        <w:tc>
          <w:tcPr>
            <w:tcW w:type="dxa" w:w="1824"/>
          </w:tcPr>
          <w:p>
            <w:r>
              <w:rPr>
                <w:sz w:val="20"/>
              </w:rPr>
              <w:t>8%</w:t>
            </w:r>
          </w:p>
        </w:tc>
        <w:tc>
          <w:tcPr>
            <w:tcW w:type="dxa" w:w="1824"/>
          </w:tcPr>
          <w:p>
            <w:r>
              <w:rPr>
                <w:sz w:val="20"/>
              </w:rPr>
              <w:t>Yes (Tier 3 parallel)</w:t>
            </w:r>
          </w:p>
        </w:tc>
      </w:tr>
      <w:tr>
        <w:tc>
          <w:tcPr>
            <w:tcW w:type="dxa" w:w="1824"/>
          </w:tcPr>
          <w:p>
            <w:r>
              <w:rPr>
                <w:sz w:val="20"/>
              </w:rPr>
              <w:t>ResNet-50 forward pass</w:t>
            </w:r>
          </w:p>
        </w:tc>
        <w:tc>
          <w:tcPr>
            <w:tcW w:type="dxa" w:w="1824"/>
          </w:tcPr>
          <w:p>
            <w:r>
              <w:rPr>
                <w:sz w:val="20"/>
              </w:rPr>
              <w:t>97</w:t>
            </w:r>
          </w:p>
        </w:tc>
        <w:tc>
          <w:tcPr>
            <w:tcW w:type="dxa" w:w="1824"/>
          </w:tcPr>
          <w:p>
            <w:r>
              <w:rPr>
                <w:sz w:val="20"/>
              </w:rPr>
              <w:t>174</w:t>
            </w:r>
          </w:p>
        </w:tc>
        <w:tc>
          <w:tcPr>
            <w:tcW w:type="dxa" w:w="1824"/>
          </w:tcPr>
          <w:p>
            <w:r>
              <w:rPr>
                <w:sz w:val="20"/>
              </w:rPr>
              <w:t>24%</w:t>
            </w:r>
          </w:p>
        </w:tc>
        <w:tc>
          <w:tcPr>
            <w:tcW w:type="dxa" w:w="1824"/>
          </w:tcPr>
          <w:p>
            <w:r>
              <w:rPr>
                <w:sz w:val="20"/>
              </w:rPr>
              <w:t>Yes (Tier 3 parallel)</w:t>
            </w:r>
          </w:p>
        </w:tc>
      </w:tr>
      <w:tr>
        <w:tc>
          <w:tcPr>
            <w:tcW w:type="dxa" w:w="1824"/>
          </w:tcPr>
          <w:p>
            <w:r>
              <w:rPr>
                <w:sz w:val="20"/>
              </w:rPr>
              <w:t>Siamese forward pass</w:t>
            </w:r>
          </w:p>
        </w:tc>
        <w:tc>
          <w:tcPr>
            <w:tcW w:type="dxa" w:w="1824"/>
          </w:tcPr>
          <w:p>
            <w:r>
              <w:rPr>
                <w:sz w:val="20"/>
              </w:rPr>
              <w:t>88</w:t>
            </w:r>
          </w:p>
        </w:tc>
        <w:tc>
          <w:tcPr>
            <w:tcW w:type="dxa" w:w="1824"/>
          </w:tcPr>
          <w:p>
            <w:r>
              <w:rPr>
                <w:sz w:val="20"/>
              </w:rPr>
              <w:t>160</w:t>
            </w:r>
          </w:p>
        </w:tc>
        <w:tc>
          <w:tcPr>
            <w:tcW w:type="dxa" w:w="1824"/>
          </w:tcPr>
          <w:p>
            <w:r>
              <w:rPr>
                <w:sz w:val="20"/>
              </w:rPr>
              <w:t>22%</w:t>
            </w:r>
          </w:p>
        </w:tc>
        <w:tc>
          <w:tcPr>
            <w:tcW w:type="dxa" w:w="1824"/>
          </w:tcPr>
          <w:p>
            <w:r>
              <w:rPr>
                <w:sz w:val="20"/>
              </w:rPr>
              <w:t>Yes (Tier 3 parallel)</w:t>
            </w:r>
          </w:p>
        </w:tc>
      </w:tr>
      <w:tr>
        <w:tc>
          <w:tcPr>
            <w:tcW w:type="dxa" w:w="1824"/>
          </w:tcPr>
          <w:p>
            <w:r>
              <w:rPr>
                <w:sz w:val="20"/>
              </w:rPr>
              <w:t>Ensemble + report gen.</w:t>
            </w:r>
          </w:p>
        </w:tc>
        <w:tc>
          <w:tcPr>
            <w:tcW w:type="dxa" w:w="1824"/>
          </w:tcPr>
          <w:p>
            <w:r>
              <w:rPr>
                <w:sz w:val="20"/>
              </w:rPr>
              <w:t>9</w:t>
            </w:r>
          </w:p>
        </w:tc>
        <w:tc>
          <w:tcPr>
            <w:tcW w:type="dxa" w:w="1824"/>
          </w:tcPr>
          <w:p>
            <w:r>
              <w:rPr>
                <w:sz w:val="20"/>
              </w:rPr>
              <w:t>19</w:t>
            </w:r>
          </w:p>
        </w:tc>
        <w:tc>
          <w:tcPr>
            <w:tcW w:type="dxa" w:w="1824"/>
          </w:tcPr>
          <w:p>
            <w:r>
              <w:rPr>
                <w:sz w:val="20"/>
              </w:rPr>
              <w:t>2%</w:t>
            </w:r>
          </w:p>
        </w:tc>
        <w:tc>
          <w:tcPr>
            <w:tcW w:type="dxa" w:w="1824"/>
          </w:tcPr>
          <w:p>
            <w:r>
              <w:rPr>
                <w:sz w:val="20"/>
              </w:rPr>
              <w:t>No (waits for Tier 3)</w:t>
            </w:r>
          </w:p>
        </w:tc>
      </w:tr>
      <w:tr>
        <w:tc>
          <w:tcPr>
            <w:tcW w:type="dxa" w:w="1824"/>
          </w:tcPr>
          <w:p>
            <w:r>
              <w:rPr>
                <w:sz w:val="20"/>
              </w:rPr>
              <w:t>TOTAL (sequential)</w:t>
            </w:r>
          </w:p>
        </w:tc>
        <w:tc>
          <w:tcPr>
            <w:tcW w:type="dxa" w:w="1824"/>
          </w:tcPr>
          <w:p>
            <w:r>
              <w:rPr>
                <w:sz w:val="20"/>
              </w:rPr>
              <w:t>401</w:t>
            </w:r>
          </w:p>
        </w:tc>
        <w:tc>
          <w:tcPr>
            <w:tcW w:type="dxa" w:w="1824"/>
          </w:tcPr>
          <w:p>
            <w:r>
              <w:rPr>
                <w:sz w:val="20"/>
              </w:rPr>
              <w:t>812</w:t>
            </w:r>
          </w:p>
        </w:tc>
        <w:tc>
          <w:tcPr>
            <w:tcW w:type="dxa" w:w="1824"/>
          </w:tcPr>
          <w:p>
            <w:r>
              <w:rPr>
                <w:sz w:val="20"/>
              </w:rPr>
              <w:t>100%</w:t>
            </w:r>
          </w:p>
        </w:tc>
        <w:tc>
          <w:tcPr>
            <w:tcW w:type="dxa" w:w="1824"/>
          </w:tcPr>
          <w:p>
            <w:r>
              <w:rPr>
                <w:sz w:val="20"/>
              </w:rPr>
              <w:t>—</w:t>
            </w:r>
          </w:p>
        </w:tc>
      </w:tr>
      <w:tr>
        <w:tc>
          <w:tcPr>
            <w:tcW w:type="dxa" w:w="1824"/>
          </w:tcPr>
          <w:p>
            <w:r>
              <w:rPr>
                <w:sz w:val="20"/>
              </w:rPr>
              <w:t>TOTAL (Tier 3 parallel)</w:t>
            </w:r>
          </w:p>
        </w:tc>
        <w:tc>
          <w:tcPr>
            <w:tcW w:type="dxa" w:w="1824"/>
          </w:tcPr>
          <w:p>
            <w:r>
              <w:rPr>
                <w:sz w:val="20"/>
              </w:rPr>
              <w:t>264</w:t>
            </w:r>
          </w:p>
        </w:tc>
        <w:tc>
          <w:tcPr>
            <w:tcW w:type="dxa" w:w="1824"/>
          </w:tcPr>
          <w:p>
            <w:r>
              <w:rPr>
                <w:sz w:val="20"/>
              </w:rPr>
              <w:t>571</w:t>
            </w:r>
          </w:p>
        </w:tc>
        <w:tc>
          <w:tcPr>
            <w:tcW w:type="dxa" w:w="1824"/>
          </w:tcPr>
          <w:p>
            <w:r>
              <w:rPr>
                <w:sz w:val="20"/>
              </w:rPr>
              <w:t>—</w:t>
            </w:r>
          </w:p>
        </w:tc>
        <w:tc>
          <w:tcPr>
            <w:tcW w:type="dxa" w:w="1824"/>
          </w:tcPr>
          <w:p>
            <w:r>
              <w:rPr>
                <w:sz w:val="20"/>
              </w:rPr>
              <w:t>Estimated production deployment</w:t>
            </w:r>
          </w:p>
        </w:tc>
      </w:tr>
    </w:tbl>
    <w:p/>
    <w:p>
      <w:pPr>
        <w:jc w:val="both"/>
      </w:pPr>
      <w:r>
        <w:rPr>
          <w:b w:val="0"/>
          <w:i w:val="0"/>
          <w:sz w:val="22"/>
        </w:rPr>
        <w:t>The NiceLabel SDK rendering (36%) is the dominant bottleneck and is not reducible without replacing the proprietary renderer. The Tier 3 methods (SSIM + ORB + CNN + Siamese = 237 ms sequential, ~97 ms parallel) are all reducible by parallelisation. Even at 401 ms sequential, the system is more than 1,000× faster than manual review.</w:t>
      </w:r>
    </w:p>
    <w:p>
      <w:r>
        <w:br w:type="page"/>
      </w:r>
    </w:p>
    <w:p>
      <w:pPr>
        <w:pStyle w:val="Heading1"/>
      </w:pPr>
      <w:r>
        <w:t>Chapter 7: Discussion</w:t>
      </w:r>
    </w:p>
    <w:p>
      <w:pPr>
        <w:pStyle w:val="Heading2"/>
      </w:pPr>
      <w:r>
        <w:t>7.1  The Ensemble is Not Greater Than the Sum of Its Parts — It Is Structurally Different</w:t>
      </w:r>
    </w:p>
    <w:p>
      <w:pPr>
        <w:jc w:val="both"/>
      </w:pPr>
      <w:r>
        <w:rPr>
          <w:b w:val="0"/>
          <w:i w:val="0"/>
          <w:sz w:val="22"/>
        </w:rPr>
        <w:t>The hybrid ensemble achieves zero false positives while every individual method produces at least one. This is not simply because combining four classifiers reduces noise — it is because the four methods make structurally uncorrelated errors:</w:t>
      </w:r>
    </w:p>
    <w:p>
      <w:pPr>
        <w:pStyle w:val="ListBullet"/>
        <w:jc w:val="left"/>
      </w:pPr>
      <w:r>
        <w:rPr>
          <w:sz w:val="22"/>
        </w:rPr>
        <w:t>SSIM false positives come from rendering anti-aliasing (pixel-level luminance changes on thin text strokes). ORB, ResNet-50, and Siamese are all insensitive to this type of noise — ORB uses binary descriptors immune to luminance shifts; CNN and Siamese see the global label and the anti-aliasing is localised to text edges.</w:t>
      </w:r>
    </w:p>
    <w:p>
      <w:pPr>
        <w:pStyle w:val="ListBullet"/>
        <w:jc w:val="left"/>
      </w:pPr>
      <w:r>
        <w:rPr>
          <w:sz w:val="22"/>
        </w:rPr>
        <w:t>ORB false positives come from labels where few distinctive keypoints exist. SSIM, ResNet-50, and Siamese are not affected by keypoint sparsity.</w:t>
      </w:r>
    </w:p>
    <w:p>
      <w:pPr>
        <w:pStyle w:val="ListBullet"/>
        <w:jc w:val="left"/>
      </w:pPr>
      <w:r>
        <w:rPr>
          <w:sz w:val="22"/>
        </w:rPr>
        <w:t>ResNet-50 false positives come from labels whose global structure is close to the decision boundary. Siamese may score such a label as valid because the reference baseline provides additional context that the standalone classifier lacks.</w:t>
      </w:r>
    </w:p>
    <w:p>
      <w:pPr>
        <w:jc w:val="both"/>
      </w:pPr>
      <w:r>
        <w:rPr>
          <w:b w:val="0"/>
          <w:i w:val="0"/>
          <w:sz w:val="22"/>
        </w:rPr>
        <w:t>The weighted majority vote (0.15, 0.25, 0.35, 0.25) requires a combined weight of at least 0.50 to trigger INVALID. For a false positive to occur, at least two independently error-prone methods must agree. On the test set, no such agreement occurred for valid labels.</w:t>
      </w:r>
    </w:p>
    <w:p>
      <w:pPr>
        <w:pStyle w:val="Heading2"/>
      </w:pPr>
      <w:r>
        <w:t>7.2  The Colour Mismatch Failure is a Training Design Consequence</w:t>
      </w:r>
    </w:p>
    <w:p>
      <w:pPr>
        <w:jc w:val="both"/>
      </w:pPr>
      <w:r>
        <w:rPr>
          <w:b w:val="0"/>
          <w:i w:val="0"/>
          <w:sz w:val="22"/>
        </w:rPr>
        <w:t>The single false negative in the ensemble — a V6 (colour mismatch) violation — is not a random failure. It is the direct consequence of a training design choice: colour-jitter augmentation was applied to make the CNN and Siamese models robust to lighting-induced colour variations in the rendered PNG. This augmentation successfully prevents false positives from lighting variation, but it also prevents the models from learning to detect genuine hue-shift violations.</w:t>
      </w:r>
    </w:p>
    <w:p>
      <w:pPr>
        <w:jc w:val="both"/>
      </w:pPr>
      <w:r>
        <w:rPr>
          <w:b w:val="0"/>
          <w:i w:val="0"/>
          <w:sz w:val="22"/>
        </w:rPr>
        <w:t>SSIM and ORB are similarly insensitive: SSIM measures luminance, contrast, and structure, not hue. ORB's binary descriptors compare intensity orderings within patches, which are preserved under a colour shift that does not change luminance relationships.</w:t>
      </w:r>
    </w:p>
    <w:p>
      <w:pPr>
        <w:jc w:val="both"/>
      </w:pPr>
      <w:r>
        <w:rPr>
          <w:b w:val="0"/>
          <w:i w:val="0"/>
          <w:sz w:val="22"/>
        </w:rPr>
        <w:t>The solution — adding a fifth validation method based on per-zone HSV histogram comparison — is described in Chapter 8. This method does not require training data and would be added as a fifth ensemble member with its own weight.</w:t>
      </w:r>
    </w:p>
    <w:p>
      <w:pPr>
        <w:pStyle w:val="Heading2"/>
      </w:pPr>
      <w:r>
        <w:t>7.3  What the Three-Tier Architecture Gets Right</w:t>
      </w:r>
    </w:p>
    <w:p>
      <w:pPr>
        <w:jc w:val="both"/>
      </w:pPr>
      <w:r>
        <w:rPr>
          <w:b w:val="0"/>
          <w:i w:val="0"/>
          <w:sz w:val="22"/>
        </w:rPr>
        <w:t>The three-tier ordering (metadata → rendering → visual) is not merely organisational. It reflects a cost-benefit analysis of when to apply which type of validation:</w:t>
      </w:r>
    </w:p>
    <w:p>
      <w:pPr>
        <w:pStyle w:val="ListBullet"/>
        <w:jc w:val="left"/>
      </w:pPr>
      <w:r>
        <w:rPr>
          <w:sz w:val="22"/>
        </w:rPr>
        <w:t>Metadata validation (Tier 1) is cheap (12 ms), operates on structured data, and catches a specific class of violations (V2, V5) with 100% precision — because format errors in JSON are definitively wrong regardless of what the rendered label looks like. Running visual validation on a label with a malformed article number would be wasted computation.</w:t>
      </w:r>
    </w:p>
    <w:p>
      <w:pPr>
        <w:pStyle w:val="ListBullet"/>
        <w:jc w:val="left"/>
      </w:pPr>
      <w:r>
        <w:rPr>
          <w:sz w:val="22"/>
        </w:rPr>
        <w:t>Rendering (Tier 2) is the most expensive single step (143 ms) but is non-negotiable: the .nlbl format is proprietary, and the NiceLabel SDK applies rendering logic (barcode encoding, font kerning, conditional printing) that no alternative tool replicates. The rendered PNG is the only accurate representation of what the physical label will look like.</w:t>
      </w:r>
    </w:p>
    <w:p>
      <w:pPr>
        <w:pStyle w:val="ListBullet"/>
        <w:jc w:val="left"/>
      </w:pPr>
      <w:r>
        <w:rPr>
          <w:sz w:val="22"/>
        </w:rPr>
        <w:t>Visual validation (Tier 3) applies multiple methods in parallel because no single visual comparison method is sufficient. The ensemble is post-rendering because all visual violations are only observable in the rendered image — you cannot detect a font size deviation or a barcode overlap from the raw .nlbl file without rendering.</w:t>
      </w:r>
    </w:p>
    <w:p>
      <w:pPr>
        <w:pStyle w:val="Heading2"/>
      </w:pPr>
      <w:r>
        <w:t>7.4  Threats to Validity</w:t>
      </w:r>
    </w:p>
    <w:p>
      <w:pPr>
        <w:jc w:val="left"/>
      </w:pPr>
      <w:r>
        <w:rPr>
          <w:b/>
          <w:i w:val="0"/>
          <w:sz w:val="22"/>
        </w:rPr>
        <w:t>Internal validity threats:</w:t>
      </w:r>
    </w:p>
    <w:p>
      <w:pPr>
        <w:pStyle w:val="ListBullet"/>
        <w:jc w:val="left"/>
      </w:pPr>
      <w:r>
        <w:rPr>
          <w:sz w:val="22"/>
        </w:rPr>
        <w:t>Synthetic violations may not perfectly replicate real production violations. The violation engine was designed with IKEA QA team input, but was not validated against archived real-failure cases.</w:t>
      </w:r>
    </w:p>
    <w:p>
      <w:pPr>
        <w:pStyle w:val="ListBullet"/>
        <w:jc w:val="left"/>
      </w:pPr>
      <w:r>
        <w:rPr>
          <w:sz w:val="22"/>
        </w:rPr>
        <w:t>The test set contains 15 labels. Statistical confidence intervals on all reported metrics are wide. The 95% Wilson CI for F1=0.923 spans approximately [0.72, 0.98]. The zero-false-positive result (Precision=1.000) should be interpreted cautiously at this sample size.</w:t>
      </w:r>
    </w:p>
    <w:p>
      <w:pPr>
        <w:jc w:val="left"/>
      </w:pPr>
      <w:r>
        <w:rPr>
          <w:b/>
          <w:i w:val="0"/>
          <w:sz w:val="22"/>
        </w:rPr>
        <w:t>External validity threats:</w:t>
      </w:r>
    </w:p>
    <w:p>
      <w:pPr>
        <w:pStyle w:val="ListBullet"/>
        <w:jc w:val="left"/>
      </w:pPr>
      <w:r>
        <w:rPr>
          <w:sz w:val="22"/>
        </w:rPr>
        <w:t>All 20 template types belong to IKEA of Sweden's current label catalogue. Generalisation to other NiceLabel-based workflows, other label manufacturers, or other template file formats would require retraining and recalibration.</w:t>
      </w:r>
    </w:p>
    <w:p>
      <w:pPr>
        <w:pStyle w:val="ListBullet"/>
        <w:jc w:val="left"/>
      </w:pPr>
      <w:r>
        <w:rPr>
          <w:sz w:val="22"/>
        </w:rPr>
        <w:t>The NiceLabel SDK integration is specific to NiceLabel version 10.x. Future SDK versions may change rendering behaviour, requiring recalibration of the SSIM threshold.</w:t>
      </w:r>
    </w:p>
    <w:p>
      <w:r>
        <w:br w:type="page"/>
      </w:r>
    </w:p>
    <w:p>
      <w:pPr>
        <w:pStyle w:val="Heading1"/>
      </w:pPr>
      <w:r>
        <w:t>Chapter 8: Conclusion and Future Work</w:t>
      </w:r>
    </w:p>
    <w:p>
      <w:pPr>
        <w:pStyle w:val="Heading2"/>
      </w:pPr>
      <w:r>
        <w:t>8.1  Conclusion</w:t>
      </w:r>
    </w:p>
    <w:p>
      <w:pPr>
        <w:jc w:val="both"/>
      </w:pPr>
      <w:r>
        <w:rPr>
          <w:b w:val="0"/>
          <w:i w:val="0"/>
          <w:sz w:val="22"/>
        </w:rPr>
        <w:t>This paper presented a three-tier hybrid validation system for standardised industrial label templates, designed to address the specific operational constraints of IKEA of Sweden's NiceLabel-based label production workflow. The central contribution is an architecture in which each component is motivated by the failure modes of the others:</w:t>
      </w:r>
    </w:p>
    <w:p>
      <w:pPr>
        <w:pStyle w:val="ListBullet"/>
        <w:jc w:val="left"/>
      </w:pPr>
      <w:r>
        <w:rPr>
          <w:sz w:val="22"/>
        </w:rPr>
        <w:t>Pre-render rule validation catches content errors cheaply before the expensive rendering step, with early exit on definitively invalid metadata.</w:t>
      </w:r>
    </w:p>
    <w:p>
      <w:pPr>
        <w:pStyle w:val="ListBullet"/>
        <w:jc w:val="left"/>
      </w:pPr>
      <w:r>
        <w:rPr>
          <w:sz w:val="22"/>
        </w:rPr>
        <w:t>SSIM provides fast, interpretable spatial deviation detection with calibratable threshold, tolerant to semantic but not rendering-level noise.</w:t>
      </w:r>
    </w:p>
    <w:p>
      <w:pPr>
        <w:pStyle w:val="ListBullet"/>
        <w:jc w:val="left"/>
      </w:pPr>
      <w:r>
        <w:rPr>
          <w:sz w:val="22"/>
        </w:rPr>
        <w:t>ORB feature matching provides sparse structural comparison that is robust to the rendering anti-aliasing that fools SSIM, and contributes spatial keypoint localisation for displacement violations.</w:t>
      </w:r>
    </w:p>
    <w:p>
      <w:pPr>
        <w:pStyle w:val="ListBullet"/>
        <w:jc w:val="left"/>
      </w:pPr>
      <w:r>
        <w:rPr>
          <w:sz w:val="22"/>
        </w:rPr>
        <w:t>ResNet-50 fine-tuned on label images captures global structural violation patterns that local patch-based methods miss, with Grad-CAM providing spatial attribution.</w:t>
      </w:r>
    </w:p>
    <w:p>
      <w:pPr>
        <w:pStyle w:val="ListBullet"/>
        <w:jc w:val="left"/>
      </w:pPr>
      <w:r>
        <w:rPr>
          <w:sz w:val="22"/>
        </w:rPr>
        <w:t>The Siamese network provides pairwise reference comparison, making the CNN's global features reference-aware without retraining for each template type.</w:t>
      </w:r>
    </w:p>
    <w:p>
      <w:pPr>
        <w:jc w:val="both"/>
      </w:pPr>
      <w:r>
        <w:rPr>
          <w:b w:val="0"/>
          <w:i w:val="0"/>
          <w:sz w:val="22"/>
        </w:rPr>
        <w:t>Together, the hybrid ensemble achieves 93.3% accuracy, 100% precision, 85.7% recall, and F1=0.923 on the held-out test set — exceeding every individual method — with violation localisation in 83% of detected errors. Median processing time is 401 ms, more than 1,000× faster than manual review.</w:t>
      </w:r>
    </w:p>
    <w:p>
      <w:pPr>
        <w:pStyle w:val="Heading2"/>
      </w:pPr>
      <w:r>
        <w:t>8.2  Future Work</w:t>
      </w:r>
    </w:p>
    <w:p>
      <w:pPr>
        <w:jc w:val="left"/>
      </w:pPr>
      <w:r>
        <w:rPr>
          <w:b/>
          <w:i w:val="0"/>
          <w:sz w:val="22"/>
        </w:rPr>
        <w:t>Immediate extensions:</w:t>
      </w:r>
    </w:p>
    <w:p>
      <w:pPr>
        <w:pStyle w:val="ListNumber"/>
        <w:jc w:val="left"/>
      </w:pPr>
      <w:r>
        <w:rPr>
          <w:sz w:val="22"/>
        </w:rPr>
        <w:t>HSV histogram comparison as a fifth ensemble method to address V6 (colour mismatch) violations. Per-zone Jensen-Shannon divergence between the generated and reference label in HSV space, without any training data requirement.</w:t>
      </w:r>
    </w:p>
    <w:p>
      <w:pPr>
        <w:pStyle w:val="ListNumber"/>
        <w:jc w:val="left"/>
      </w:pPr>
      <w:r>
        <w:rPr>
          <w:sz w:val="22"/>
        </w:rPr>
        <w:t>Zone-ordering validation using a LayoutParser-based segmentation model fine-tuned on IKEA label zones (product identity, barcode, compliance, date). Verify that named zones appear in the expected spatial sequence.</w:t>
      </w:r>
    </w:p>
    <w:p>
      <w:pPr>
        <w:pStyle w:val="ListNumber"/>
        <w:jc w:val="left"/>
      </w:pPr>
      <w:r>
        <w:rPr>
          <w:sz w:val="22"/>
        </w:rPr>
        <w:t>Expanded dataset with real production violations (in collaboration with the IKEA QA team to instrument the correction workflow) to validate that synthetic violations are representative.</w:t>
      </w:r>
    </w:p>
    <w:p>
      <w:pPr>
        <w:pStyle w:val="ListNumber"/>
        <w:jc w:val="left"/>
      </w:pPr>
      <w:r>
        <w:rPr>
          <w:sz w:val="22"/>
        </w:rPr>
        <w:t>Per-template-type performance breakdown to identify which of the 20 template types are most challenging and require template-specific calibration.</w:t>
      </w:r>
    </w:p>
    <w:p>
      <w:pPr>
        <w:jc w:val="left"/>
      </w:pPr>
      <w:r>
        <w:rPr>
          <w:b/>
          <w:i w:val="0"/>
          <w:sz w:val="22"/>
        </w:rPr>
        <w:t>Research extensions:</w:t>
      </w:r>
    </w:p>
    <w:p>
      <w:pPr>
        <w:pStyle w:val="ListNumber"/>
        <w:jc w:val="left"/>
      </w:pPr>
      <w:r>
        <w:rPr>
          <w:sz w:val="22"/>
        </w:rPr>
        <w:t>PatchCore-based anomaly detection as a reference-only alternative that requires no negative training examples at all — only the baseline template catalog. This would eliminate the synthetic violation generation step entirely.</w:t>
      </w:r>
    </w:p>
    <w:p>
      <w:pPr>
        <w:pStyle w:val="ListNumber"/>
        <w:jc w:val="left"/>
      </w:pPr>
      <w:r>
        <w:rPr>
          <w:sz w:val="22"/>
        </w:rPr>
        <w:t>LayoutLMv3 fine-tuning for cross-field semantic validation: verifying that the article number encoded in the DataMatrix matches the human-readable article number printed on the label face — a check that requires reading and comparing content across two label elements, beyond the reach of visual comparison alone.</w:t>
      </w:r>
    </w:p>
    <w:p>
      <w:pPr>
        <w:pStyle w:val="ListNumber"/>
        <w:jc w:val="left"/>
      </w:pPr>
      <w:r>
        <w:rPr>
          <w:sz w:val="22"/>
        </w:rPr>
        <w:t>Continuous learning loop: QA operator corrections in the dashboard interface fed back as additional training examples through an export-JSONL mechanism, allowing the system to improve over time from real production errors without manual curation.</w:t>
      </w:r>
    </w:p>
    <w:p>
      <w:r>
        <w:br w:type="page"/>
      </w:r>
    </w:p>
    <w:p>
      <w:pPr>
        <w:pStyle w:val="Heading1"/>
      </w:pPr>
      <w:r>
        <w:t>References</w:t>
      </w:r>
    </w:p>
    <w:p>
      <w:pPr>
        <w:jc w:val="left"/>
      </w:pPr>
      <w:r>
        <w:rPr>
          <w:sz w:val="18"/>
        </w:rPr>
        <w:t>[1]   X. Zhong, J. Tang, and A. J. Yepes, "PubLayNet: Largest Dataset Ever for Document Layout Analysis," in Proc. ICDAR, 2019.</w:t>
      </w:r>
    </w:p>
    <w:p>
      <w:pPr>
        <w:jc w:val="left"/>
      </w:pPr>
      <w:r>
        <w:rPr>
          <w:sz w:val="18"/>
        </w:rPr>
        <w:t>[2]   B. Pfitzmann et al., "DocLayNet: A Large Human-Annotated Dataset for Document-Layout Analysis," in Proc. KDD, 2022.</w:t>
      </w:r>
    </w:p>
    <w:p>
      <w:pPr>
        <w:jc w:val="left"/>
      </w:pPr>
      <w:r>
        <w:rPr>
          <w:sz w:val="18"/>
        </w:rPr>
        <w:t>[3]   Z. Shen et al., "LayoutParser: A Unified Toolkit for Deep Learning Based Document Image Analysis," in Proc. ICDAR, 2021.</w:t>
      </w:r>
    </w:p>
    <w:p>
      <w:pPr>
        <w:jc w:val="left"/>
      </w:pPr>
      <w:r>
        <w:rPr>
          <w:sz w:val="18"/>
        </w:rPr>
        <w:t>[4]   D. G. Lowe, "Distinctive Image Features from Scale-Invariant Keypoints," Int. J. Comput. Vis., vol. 60, no. 2, pp. 91–110, 2004.</w:t>
      </w:r>
    </w:p>
    <w:p>
      <w:pPr>
        <w:jc w:val="left"/>
      </w:pPr>
      <w:r>
        <w:rPr>
          <w:sz w:val="18"/>
        </w:rPr>
        <w:t>[5]   J. Canny, "A Computational Approach to Edge Detection," IEEE Trans. Pattern Anal. Mach. Intell., vol. 8, no. 6, pp. 679–698, 1986.</w:t>
      </w:r>
    </w:p>
    <w:p>
      <w:pPr>
        <w:jc w:val="left"/>
      </w:pPr>
      <w:r>
        <w:rPr>
          <w:sz w:val="18"/>
        </w:rPr>
        <w:t>[6]   E. Rublee, V. Rabaud, K. Konolige, and G. Bradski, "ORB: An Efficient Alternative to SIFT or SURF," in Proc. ICCV, 2011.</w:t>
      </w:r>
    </w:p>
    <w:p>
      <w:pPr>
        <w:jc w:val="left"/>
      </w:pPr>
      <w:r>
        <w:rPr>
          <w:sz w:val="18"/>
        </w:rPr>
        <w:t>[7]   P. Bergmann et al., "MVTec AD — A Comprehensive Real-World Dataset for Unsupervised Anomaly Detection," in Proc. CVPR, 2019.</w:t>
      </w:r>
    </w:p>
    <w:p>
      <w:pPr>
        <w:jc w:val="left"/>
      </w:pPr>
      <w:r>
        <w:rPr>
          <w:sz w:val="18"/>
        </w:rPr>
        <w:t>[8]   K. Roth et al., "Towards Total Recall in Industrial Anomaly Detection," in Proc. CVPR, 2022.</w:t>
      </w:r>
    </w:p>
    <w:p>
      <w:pPr>
        <w:jc w:val="left"/>
      </w:pPr>
      <w:r>
        <w:rPr>
          <w:sz w:val="18"/>
        </w:rPr>
        <w:t>[9]   G. Koch, R. Zemel, and R. Salakhutdinov, "Siamese Neural Networks for One-Shot Image Recognition," in Proc. ICML Deep Learning Workshop, 2015.</w:t>
      </w:r>
    </w:p>
    <w:p>
      <w:pPr>
        <w:jc w:val="left"/>
      </w:pPr>
      <w:r>
        <w:rPr>
          <w:sz w:val="18"/>
        </w:rPr>
        <w:t>[10]  R. Hadsell, S. Chopra, and Y. LeCun, "Dimensionality Reduction by Learning an Invariant Mapping," in Proc. CVPR, 2006.</w:t>
      </w:r>
    </w:p>
    <w:p>
      <w:pPr>
        <w:jc w:val="left"/>
      </w:pPr>
      <w:r>
        <w:rPr>
          <w:sz w:val="18"/>
        </w:rPr>
        <w:t>[11]  F. Sung et al., "Learning to Compare: Relation Network for Few-Shot Learning," in Proc. CVPR, 2018.</w:t>
      </w:r>
    </w:p>
    <w:p>
      <w:pPr>
        <w:jc w:val="left"/>
      </w:pPr>
      <w:r>
        <w:rPr>
          <w:sz w:val="18"/>
        </w:rPr>
        <w:t>[12]  J. Howard and S. Ruder, "Universal Language Model Fine-Tuning for Text Classification," in Proc. ACL, 2018.</w:t>
      </w:r>
    </w:p>
    <w:p>
      <w:pPr>
        <w:jc w:val="left"/>
      </w:pPr>
      <w:r>
        <w:rPr>
          <w:sz w:val="18"/>
        </w:rPr>
        <w:t>[13]  J. Yosinski, J. Clune, Y. Bengio, and H. Lipson, "How Transferable Are Features in Deep Neural Networks?," in Proc. NeurIPS, 2014.</w:t>
      </w:r>
    </w:p>
    <w:p>
      <w:pPr>
        <w:jc w:val="left"/>
      </w:pPr>
      <w:r>
        <w:rPr>
          <w:sz w:val="18"/>
        </w:rPr>
        <w:t>[14]  K. He, X. Zhang, S. Ren, and J. Sun, "Deep Residual Learning for Image Recognition," in Proc. CVPR, 2016.</w:t>
      </w:r>
    </w:p>
    <w:p>
      <w:pPr>
        <w:jc w:val="left"/>
      </w:pPr>
      <w:r>
        <w:rPr>
          <w:sz w:val="18"/>
        </w:rPr>
        <w:t>[15]  Z. Wang, A. C. Bovik, H. R. Sheikh, and E. P. Simoncelli, "Image Quality Assessment: From Error Visibility to Structural Similarity," IEEE Trans. Image Process., vol. 13, no. 4, pp. 600–612, 2004.</w:t>
      </w:r>
    </w:p>
    <w:p>
      <w:pPr>
        <w:jc w:val="left"/>
      </w:pPr>
      <w:r>
        <w:rPr>
          <w:sz w:val="18"/>
        </w:rPr>
        <w:t>[16]  R. Zhang et al., "The Unreasonable Effectiveness of Deep Features as a Perceptual Metric," in Proc. CVPR, 2018.</w:t>
      </w:r>
    </w:p>
    <w:p>
      <w:pPr>
        <w:jc w:val="left"/>
      </w:pPr>
      <w:r>
        <w:rPr>
          <w:sz w:val="18"/>
        </w:rPr>
        <w:t>[17]  Y. Xu et al., "LayoutLM: Pre-training of Text and Layout for Document Image Understanding," in Proc. KDD, 2020.</w:t>
      </w:r>
    </w:p>
    <w:p>
      <w:pPr>
        <w:jc w:val="left"/>
      </w:pPr>
      <w:r>
        <w:rPr>
          <w:sz w:val="18"/>
        </w:rPr>
        <w:t>[18]  Y. Huang et al., "LayoutLMv3: Pre-training for Document AI with Unified Text and Image Masking," in Proc. ACM MM, 2022.</w:t>
      </w:r>
    </w:p>
    <w:p>
      <w:pPr>
        <w:jc w:val="left"/>
      </w:pPr>
      <w:r>
        <w:rPr>
          <w:sz w:val="18"/>
        </w:rPr>
        <w:t>[19]  R. R. Selvaraju et al., "Grad-CAM: Visual Explanations from Deep Networks via Gradient-Based Localization," Int. J. Comput. Vis., vol. 128, no. 2, pp. 336–359, 2020.</w:t>
      </w:r>
    </w:p>
    <w:p>
      <w:pPr>
        <w:jc w:val="left"/>
      </w:pPr>
      <w:r>
        <w:rPr>
          <w:sz w:val="18"/>
        </w:rPr>
        <w:t>[20]  D. P. Kingma and J. Ba, "Adam: A Method for Stochastic Optimization," in Proc. ICLR, 2015.</w:t>
      </w:r>
    </w:p>
    <w:p>
      <w:pPr>
        <w:jc w:val="left"/>
      </w:pPr>
      <w:r>
        <w:rPr>
          <w:sz w:val="18"/>
        </w:rPr>
        <w:t>[21]  J. Bromley et al., "Signature Verification Using a Siamese Time Delay Neural Network," in Proc. NeurIPS, 1993.</w:t>
      </w:r>
    </w:p>
    <w:p>
      <w:pPr>
        <w:jc w:val="left"/>
      </w:pPr>
      <w:r>
        <w:rPr>
          <w:sz w:val="18"/>
        </w:rPr>
        <w:t>[22]  N. Srivastava et al., "Dropout: A Simple Way to Prevent Neural Networks from Overfitting," JMLR, vol. 15, pp. 1929–1958, 2014.</w:t>
      </w:r>
    </w:p>
    <w:p>
      <w:pPr>
        <w:jc w:val="left"/>
      </w:pPr>
      <w:r>
        <w:rPr>
          <w:sz w:val="18"/>
        </w:rPr>
        <w:t>[23]  S. Ioffe and C. Szegedy, "Batch Normalization: Accelerating Deep Network Training by Reducing Internal Covariate Shift," in Proc. ICML, 2015.</w:t>
      </w:r>
    </w:p>
    <w:p>
      <w:pPr>
        <w:jc w:val="left"/>
      </w:pPr>
      <w:r>
        <w:rPr>
          <w:sz w:val="18"/>
        </w:rPr>
        <w:t>[24]  T.-Y. Lin et al., "Feature Pyramid Networks for Object Detection," in Proc. CVPR, 2017.</w:t>
      </w:r>
    </w:p>
    <w:p>
      <w:pPr>
        <w:jc w:val="left"/>
      </w:pPr>
      <w:r>
        <w:rPr>
          <w:sz w:val="18"/>
        </w:rPr>
        <w:t>[25]  S. Ren, K. He, R. Girshick, and J. Sun, "Faster R-CNN: Towards Real-Time Object Detection with Region Proposal Networks," IEEE TPAMI, 2017.</w:t>
      </w:r>
    </w:p>
    <w:p>
      <w:r>
        <w:br w:type="page"/>
      </w:r>
    </w:p>
    <w:p>
      <w:pPr>
        <w:pStyle w:val="Heading1"/>
      </w:pPr>
      <w:r>
        <w:t>Appendix A: JSON Metadata Schema Example</w:t>
      </w:r>
    </w:p>
    <w:p>
      <w:pPr>
        <w:jc w:val="both"/>
      </w:pPr>
      <w:r>
        <w:rPr>
          <w:b w:val="0"/>
          <w:i w:val="0"/>
          <w:sz w:val="22"/>
        </w:rPr>
        <w:t>Annotated JSON payload for label type 1C50-IDBDM, showing which fields are validated by which rule categories in Tier 1.</w:t>
      </w:r>
    </w:p>
    <w:p>
      <w:pPr>
        <w:pStyle w:val="NoSpacing"/>
        <w:jc w:val="left"/>
      </w:pPr>
      <w:r>
        <w:rPr>
          <w:rFonts w:ascii="Courier New" w:hAnsi="Courier New"/>
          <w:sz w:val="18"/>
        </w:rPr>
        <w:t>{</w:t>
        <w:br/>
        <w:t xml:space="preserve">  "label_type_id":    "1C50-IDBDM",      // Enumeration check: must be in catalog</w:t>
        <w:br/>
        <w:t xml:space="preserve">  "article_number":   "123.456.78",      // Regex: \d{3}\.\d{3}\.\d{2}</w:t>
        <w:br/>
        <w:t xml:space="preserve">  "product_name":     "EXAMPLE PRODUCT", // Length: max 40 chars</w:t>
        <w:br/>
        <w:t xml:space="preserve">  "origin_text":      "Made in Sweden",  // Presence check only</w:t>
        <w:br/>
        <w:t xml:space="preserve">  "supplier_name":    "IKEA of Sweden AB",// Exact-value check</w:t>
        <w:br/>
        <w:t xml:space="preserve">  "supplier_address": "SE-34381 Almhult",// Presence check only</w:t>
        <w:br/>
        <w:t xml:space="preserve">  "country_code":     "SE",             // ISO 3166-1 alpha-2</w:t>
        <w:br/>
        <w:t xml:space="preserve">  "gross_weight_kg":   2.4,             // Cross-field: must be &gt; 0 if unit = kg</w:t>
        <w:br/>
        <w:t xml:space="preserve">  "datamatrix": {</w:t>
        <w:br/>
        <w:t xml:space="preserve">    "ai_240": "12345678901234",          // GS1 AI 240: presence check</w:t>
        <w:br/>
        <w:t xml:space="preserve">    "ai_13":  "260101",                  // GS1 AI 13: YYMMDD format</w:t>
        <w:br/>
        <w:t xml:space="preserve">    "ai_10":  "BATCH001"                 // Presence check only</w:t>
        <w:br/>
        <w:t xml:space="preserve">  }</w:t>
        <w:br/>
        <w:t>}</w:t>
      </w:r>
    </w:p>
    <w:p/>
    <w:p>
      <w:pPr>
        <w:jc w:val="left"/>
      </w:pPr>
      <w:r>
        <w:rPr>
          <w:b/>
          <w:i w:val="0"/>
          <w:sz w:val="22"/>
        </w:rPr>
        <w:t>All 10 rules pass → proceed to Tier 2 rendering.</w:t>
      </w:r>
    </w:p>
    <w:p>
      <w:r>
        <w:br w:type="page"/>
      </w:r>
    </w:p>
    <w:p>
      <w:pPr>
        <w:pStyle w:val="Heading1"/>
      </w:pPr>
      <w:r>
        <w:t>Appendix B: Individual Contribution Statement</w:t>
      </w:r>
    </w:p>
    <w:p>
      <w:pPr>
        <w:jc w:val="center"/>
      </w:pPr>
      <w:r>
        <w:rPr>
          <w:b/>
          <w:sz w:val="20"/>
        </w:rPr>
        <w:t>Table B.1: Division of primary responsibility.</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Component / Task</w:t>
            </w:r>
          </w:p>
        </w:tc>
        <w:tc>
          <w:tcPr>
            <w:tcW w:type="dxa" w:w="4561"/>
          </w:tcPr>
          <w:p>
            <w:r>
              <w:rPr>
                <w:b/>
                <w:sz w:val="20"/>
              </w:rPr>
              <w:t>Primary Contributor</w:t>
            </w:r>
          </w:p>
        </w:tc>
      </w:tr>
      <w:tr>
        <w:tc>
          <w:tcPr>
            <w:tcW w:type="dxa" w:w="4561"/>
          </w:tcPr>
          <w:p>
            <w:r>
              <w:rPr>
                <w:sz w:val="20"/>
              </w:rPr>
              <w:t>System architecture design (3-tier pipeline)</w:t>
            </w:r>
          </w:p>
        </w:tc>
        <w:tc>
          <w:tcPr>
            <w:tcW w:type="dxa" w:w="4561"/>
          </w:tcPr>
          <w:p>
            <w:r>
              <w:rPr>
                <w:sz w:val="20"/>
              </w:rPr>
              <w:t>Both authors equally</w:t>
            </w:r>
          </w:p>
        </w:tc>
      </w:tr>
      <w:tr>
        <w:tc>
          <w:tcPr>
            <w:tcW w:type="dxa" w:w="4561"/>
          </w:tcPr>
          <w:p>
            <w:r>
              <w:rPr>
                <w:sz w:val="20"/>
              </w:rPr>
              <w:t>NiceLabel SDK integration and rendering module</w:t>
            </w:r>
          </w:p>
        </w:tc>
        <w:tc>
          <w:tcPr>
            <w:tcW w:type="dxa" w:w="4561"/>
          </w:tcPr>
          <w:p>
            <w:r>
              <w:rPr>
                <w:sz w:val="20"/>
              </w:rPr>
              <w:t>Ghanasham Saravaiahgari</w:t>
            </w:r>
          </w:p>
        </w:tc>
      </w:tr>
      <w:tr>
        <w:tc>
          <w:tcPr>
            <w:tcW w:type="dxa" w:w="4561"/>
          </w:tcPr>
          <w:p>
            <w:r>
              <w:rPr>
                <w:sz w:val="20"/>
              </w:rPr>
              <w:t>JSON rule engine and schema files</w:t>
            </w:r>
          </w:p>
        </w:tc>
        <w:tc>
          <w:tcPr>
            <w:tcW w:type="dxa" w:w="4561"/>
          </w:tcPr>
          <w:p>
            <w:r>
              <w:rPr>
                <w:sz w:val="20"/>
              </w:rPr>
              <w:t>Ghazal Chamto</w:t>
            </w:r>
          </w:p>
        </w:tc>
      </w:tr>
      <w:tr>
        <w:tc>
          <w:tcPr>
            <w:tcW w:type="dxa" w:w="4561"/>
          </w:tcPr>
          <w:p>
            <w:r>
              <w:rPr>
                <w:sz w:val="20"/>
              </w:rPr>
              <w:t>SSIM comparison module and threshold calibration</w:t>
            </w:r>
          </w:p>
        </w:tc>
        <w:tc>
          <w:tcPr>
            <w:tcW w:type="dxa" w:w="4561"/>
          </w:tcPr>
          <w:p>
            <w:r>
              <w:rPr>
                <w:sz w:val="20"/>
              </w:rPr>
              <w:t>Ghanasham Saravaiahgari</w:t>
            </w:r>
          </w:p>
        </w:tc>
      </w:tr>
      <w:tr>
        <w:tc>
          <w:tcPr>
            <w:tcW w:type="dxa" w:w="4561"/>
          </w:tcPr>
          <w:p>
            <w:r>
              <w:rPr>
                <w:sz w:val="20"/>
              </w:rPr>
              <w:t>ORB feature matching module</w:t>
            </w:r>
          </w:p>
        </w:tc>
        <w:tc>
          <w:tcPr>
            <w:tcW w:type="dxa" w:w="4561"/>
          </w:tcPr>
          <w:p>
            <w:r>
              <w:rPr>
                <w:sz w:val="20"/>
              </w:rPr>
              <w:t>Ghanasham Saravaiahgari</w:t>
            </w:r>
          </w:p>
        </w:tc>
      </w:tr>
      <w:tr>
        <w:tc>
          <w:tcPr>
            <w:tcW w:type="dxa" w:w="4561"/>
          </w:tcPr>
          <w:p>
            <w:r>
              <w:rPr>
                <w:sz w:val="20"/>
              </w:rPr>
              <w:t>ResNet-50 fine-tuning and Grad-CAM localisation</w:t>
            </w:r>
          </w:p>
        </w:tc>
        <w:tc>
          <w:tcPr>
            <w:tcW w:type="dxa" w:w="4561"/>
          </w:tcPr>
          <w:p>
            <w:r>
              <w:rPr>
                <w:sz w:val="20"/>
              </w:rPr>
              <w:t>Ghanasham Saravaiahgari</w:t>
            </w:r>
          </w:p>
        </w:tc>
      </w:tr>
      <w:tr>
        <w:tc>
          <w:tcPr>
            <w:tcW w:type="dxa" w:w="4561"/>
          </w:tcPr>
          <w:p>
            <w:r>
              <w:rPr>
                <w:sz w:val="20"/>
              </w:rPr>
              <w:t>Siamese network architecture and contrastive training</w:t>
            </w:r>
          </w:p>
        </w:tc>
        <w:tc>
          <w:tcPr>
            <w:tcW w:type="dxa" w:w="4561"/>
          </w:tcPr>
          <w:p>
            <w:r>
              <w:rPr>
                <w:sz w:val="20"/>
              </w:rPr>
              <w:t>Ghazal Chamto</w:t>
            </w:r>
          </w:p>
        </w:tc>
      </w:tr>
      <w:tr>
        <w:tc>
          <w:tcPr>
            <w:tcW w:type="dxa" w:w="4561"/>
          </w:tcPr>
          <w:p>
            <w:r>
              <w:rPr>
                <w:sz w:val="20"/>
              </w:rPr>
              <w:t>Ensemble weighting and report generator</w:t>
            </w:r>
          </w:p>
        </w:tc>
        <w:tc>
          <w:tcPr>
            <w:tcW w:type="dxa" w:w="4561"/>
          </w:tcPr>
          <w:p>
            <w:r>
              <w:rPr>
                <w:sz w:val="20"/>
              </w:rPr>
              <w:t>Both authors equally</w:t>
            </w:r>
          </w:p>
        </w:tc>
      </w:tr>
      <w:tr>
        <w:tc>
          <w:tcPr>
            <w:tcW w:type="dxa" w:w="4561"/>
          </w:tcPr>
          <w:p>
            <w:r>
              <w:rPr>
                <w:sz w:val="20"/>
              </w:rPr>
              <w:t>Template catalog and baseline PNG preparation</w:t>
            </w:r>
          </w:p>
        </w:tc>
        <w:tc>
          <w:tcPr>
            <w:tcW w:type="dxa" w:w="4561"/>
          </w:tcPr>
          <w:p>
            <w:r>
              <w:rPr>
                <w:sz w:val="20"/>
              </w:rPr>
              <w:t>Ghazal Chamto</w:t>
            </w:r>
          </w:p>
        </w:tc>
      </w:tr>
      <w:tr>
        <w:tc>
          <w:tcPr>
            <w:tcW w:type="dxa" w:w="4561"/>
          </w:tcPr>
          <w:p>
            <w:r>
              <w:rPr>
                <w:sz w:val="20"/>
              </w:rPr>
              <w:t>Violation injection engine (synthetic dataset)</w:t>
            </w:r>
          </w:p>
        </w:tc>
        <w:tc>
          <w:tcPr>
            <w:tcW w:type="dxa" w:w="4561"/>
          </w:tcPr>
          <w:p>
            <w:r>
              <w:rPr>
                <w:sz w:val="20"/>
              </w:rPr>
              <w:t>Both authors equally</w:t>
            </w:r>
          </w:p>
        </w:tc>
      </w:tr>
      <w:tr>
        <w:tc>
          <w:tcPr>
            <w:tcW w:type="dxa" w:w="4561"/>
          </w:tcPr>
          <w:p>
            <w:r>
              <w:rPr>
                <w:sz w:val="20"/>
              </w:rPr>
              <w:t>Experimental evaluation and results analysis</w:t>
            </w:r>
          </w:p>
        </w:tc>
        <w:tc>
          <w:tcPr>
            <w:tcW w:type="dxa" w:w="4561"/>
          </w:tcPr>
          <w:p>
            <w:r>
              <w:rPr>
                <w:sz w:val="20"/>
              </w:rPr>
              <w:t>Both authors equally</w:t>
            </w:r>
          </w:p>
        </w:tc>
      </w:tr>
      <w:tr>
        <w:tc>
          <w:tcPr>
            <w:tcW w:type="dxa" w:w="4561"/>
          </w:tcPr>
          <w:p>
            <w:r>
              <w:rPr>
                <w:sz w:val="20"/>
              </w:rPr>
              <w:t>Literature review</w:t>
            </w:r>
          </w:p>
        </w:tc>
        <w:tc>
          <w:tcPr>
            <w:tcW w:type="dxa" w:w="4561"/>
          </w:tcPr>
          <w:p>
            <w:r>
              <w:rPr>
                <w:sz w:val="20"/>
              </w:rPr>
              <w:t>Both authors equally</w:t>
            </w:r>
          </w:p>
        </w:tc>
      </w:tr>
      <w:tr>
        <w:tc>
          <w:tcPr>
            <w:tcW w:type="dxa" w:w="4561"/>
          </w:tcPr>
          <w:p>
            <w:r>
              <w:rPr>
                <w:sz w:val="20"/>
              </w:rPr>
              <w:t>Report writing (Ch. 1–2)</w:t>
            </w:r>
          </w:p>
        </w:tc>
        <w:tc>
          <w:tcPr>
            <w:tcW w:type="dxa" w:w="4561"/>
          </w:tcPr>
          <w:p>
            <w:r>
              <w:rPr>
                <w:sz w:val="20"/>
              </w:rPr>
              <w:t>Ghazal Chamto</w:t>
            </w:r>
          </w:p>
        </w:tc>
      </w:tr>
      <w:tr>
        <w:tc>
          <w:tcPr>
            <w:tcW w:type="dxa" w:w="4561"/>
          </w:tcPr>
          <w:p>
            <w:r>
              <w:rPr>
                <w:sz w:val="20"/>
              </w:rPr>
              <w:t>Report writing (Ch. 3–5)</w:t>
            </w:r>
          </w:p>
        </w:tc>
        <w:tc>
          <w:tcPr>
            <w:tcW w:type="dxa" w:w="4561"/>
          </w:tcPr>
          <w:p>
            <w:r>
              <w:rPr>
                <w:sz w:val="20"/>
              </w:rPr>
              <w:t>Ghanasham Saravaiahgari</w:t>
            </w:r>
          </w:p>
        </w:tc>
      </w:tr>
      <w:tr>
        <w:tc>
          <w:tcPr>
            <w:tcW w:type="dxa" w:w="4561"/>
          </w:tcPr>
          <w:p>
            <w:r>
              <w:rPr>
                <w:sz w:val="20"/>
              </w:rPr>
              <w:t>Report writing (Ch. 6–8, Appendices)</w:t>
            </w:r>
          </w:p>
        </w:tc>
        <w:tc>
          <w:tcPr>
            <w:tcW w:type="dxa" w:w="4561"/>
          </w:tcPr>
          <w:p>
            <w:r>
              <w:rPr>
                <w:sz w:val="20"/>
              </w:rPr>
              <w:t>Both authors equally</w:t>
            </w:r>
          </w:p>
        </w:tc>
      </w:tr>
    </w:tbl>
    <w:p/>
    <w:p>
      <w:pPr>
        <w:jc w:val="both"/>
      </w:pPr>
      <w:r>
        <w:rPr>
          <w:b w:val="0"/>
          <w:i w:val="0"/>
          <w:sz w:val="22"/>
        </w:rPr>
        <w:t>All major architectural and design decisions were made jointly. Each author reviewed and approved the other's implementations before integration into the shared pipeline.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