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t xml:space="preserve"/>
      </w:r>
    </w:p>
    <w:p>
      <w:pPr>
        <w:spacing w:after="60"/>
        <w:jc w:val="center"/>
      </w:pPr>
      <w:r>
        <w:rPr>
          <w:rFonts w:ascii="Calibri" w:cs="Calibri" w:eastAsia="Calibri" w:hAnsi="Calibri"/>
          <w:b/>
          <w:bCs/>
          <w:color w:val="555555"/>
          <w:sz w:val="24"/>
          <w:szCs w:val="24"/>
        </w:rPr>
        <w:t xml:space="preserve">UNIVERSITÉ HASSAN 1er</w:t>
      </w:r>
    </w:p>
    <w:p>
      <w:pPr>
        <w:spacing w:after="60"/>
        <w:jc w:val="center"/>
      </w:pPr>
      <w:r>
        <w:rPr>
          <w:rFonts w:ascii="Calibri" w:cs="Calibri" w:eastAsia="Calibri" w:hAnsi="Calibri"/>
          <w:b/>
          <w:bCs/>
          <w:color w:val="006633"/>
          <w:sz w:val="30"/>
          <w:szCs w:val="30"/>
        </w:rPr>
        <w:t xml:space="preserve">ÉCOLE NATIONALE DE COMMERCE ET DE GESTION</w:t>
      </w:r>
    </w:p>
    <w:p>
      <w:pPr>
        <w:spacing w:after="240"/>
        <w:jc w:val="center"/>
      </w:pPr>
      <w:r>
        <w:rPr>
          <w:rFonts w:ascii="Calibri" w:cs="Calibri" w:eastAsia="Calibri" w:hAnsi="Calibri"/>
          <w:b/>
          <w:bCs/>
          <w:color w:val="006633"/>
          <w:sz w:val="30"/>
          <w:szCs w:val="30"/>
        </w:rPr>
        <w:t xml:space="preserve">DE SETTAT</w:t>
      </w:r>
    </w:p>
    <w:p>
      <w:pPr>
        <w:pBdr>
          <w:bottom w:val="single" w:color="006633" w:sz="4" w:space="4"/>
        </w:pBdr>
        <w:spacing w:before="120" w:after="120"/>
      </w:pPr>
      <w:r>
        <w:t xml:space="preserve"/>
      </w:r>
    </w:p>
    <w:p>
      <w:pPr>
        <w:spacing w:before="240"/>
      </w:pPr>
      <w:r>
        <w:t xml:space="preserve"/>
      </w:r>
    </w:p>
    <w:p>
      <w:pPr>
        <w:spacing w:before="120" w:after="120"/>
        <w:jc w:val="center"/>
      </w:pPr>
      <w:r>
        <w:rPr>
          <w:rFonts w:ascii="Calibri" w:cs="Calibri" w:eastAsia="Calibri" w:hAnsi="Calibri"/>
          <w:b/>
          <w:bCs/>
          <w:color w:val="006633"/>
          <w:sz w:val="40"/>
          <w:szCs w:val="40"/>
        </w:rPr>
        <w:t xml:space="preserve">COMPTE RENDU DE PROJET</w:t>
      </w:r>
    </w:p>
    <w:p>
      <w:pPr>
        <w:spacing w:before="120"/>
      </w:pPr>
      <w:r>
        <w:t xml:space="preserve"/>
      </w:r>
    </w:p>
    <w:p>
      <w:pPr>
        <w:pBdr>
          <w:bottom w:val="single" w:color="006633" w:sz="4" w:space="4"/>
        </w:pBdr>
        <w:spacing w:before="120" w:after="120"/>
      </w:pPr>
      <w:r>
        <w:t xml:space="preserve"/>
      </w:r>
    </w:p>
    <w:p>
      <w:pPr>
        <w:spacing w:before="3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INTITULÉ</w:t>
            </w:r>
          </w:p>
        </w:tc>
        <w:tc>
          <w:tcPr>
            <w:tcW w:type="dxa" w:w="5800"/>
            <w:tcBorders>
              <w:top w:val="single" w:color="CCCCCC" w:sz="1"/>
              <w:left w:val="single" w:color="CCCCCC" w:sz="1"/>
              <w:bottom w:val="single" w:color="CCCCCC" w:sz="1"/>
              <w:right w:val="single" w:color="CCCCCC" w:sz="1"/>
            </w:tcBorders>
            <w:shd w:fill="004422" w:val="clear"/>
            <w:tcMar>
              <w:top w:type="dxa" w:w="80"/>
              <w:left w:type="dxa" w:w="120"/>
              <w:bottom w:type="dxa" w:w="80"/>
              <w:right w:type="dxa" w:w="120"/>
            </w:tcMar>
          </w:tcPr>
          <w:p>
            <w:pPr>
              <w:jc w:val="left"/>
            </w:pPr>
            <w:r>
              <w:rPr>
                <w:rFonts w:ascii="Calibri" w:cs="Calibri" w:eastAsia="Calibri" w:hAnsi="Calibri"/>
                <w:color w:val="FFFFFF"/>
                <w:sz w:val="20"/>
                <w:szCs w:val="20"/>
              </w:rPr>
              <w:t xml:space="preserve">Pipeline Modulaire de Risque de Crédit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Module</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Informatique Décisionnelle / Data Science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Filière</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CAC — L3 Semestre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Réalisé par</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Hatim Ghazouani &amp; Mohamed Taha Brini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Encadrant</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Pr. Abderrahim Larhlimi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Période</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18/03/2026</w:t>
            </w:r>
          </w:p>
        </w:tc>
      </w:tr>
    </w:tbl>
    <w:p>
      <w:pPr>
        <w:spacing w:before="400"/>
      </w:pPr>
      <w:r>
        <w:t xml:space="preserve"/>
      </w:r>
    </w:p>
    <w:p>
      <w:pPr>
        <w:pBdr>
          <w:bottom w:val="single" w:color="006633" w:sz="4" w:space="4"/>
        </w:pBdr>
        <w:spacing w:before="120" w:after="120"/>
      </w:pPr>
      <w:r>
        <w:t xml:space="preserve"/>
      </w:r>
    </w:p>
    <w:p>
      <w:pPr>
        <w:spacing w:before="120"/>
        <w:jc w:val="center"/>
      </w:pPr>
      <w:r>
        <w:rPr>
          <w:rFonts w:ascii="Calibri" w:cs="Calibri" w:eastAsia="Calibri" w:hAnsi="Calibri"/>
          <w:b/>
          <w:bCs/>
          <w:color w:val="555555"/>
          <w:sz w:val="22"/>
          <w:szCs w:val="22"/>
        </w:rPr>
        <w:t xml:space="preserve">Année Universitaire 2024–2025</w:t>
      </w:r>
    </w:p>
    <w:p>
      <w:r>
        <w:br w:type="page"/>
      </w:r>
    </w:p>
    <w:p>
      <w:pPr>
        <w:pStyle w:val="Heading1"/>
        <w:spacing w:before="320" w:after="160"/>
      </w:pPr>
      <w:r>
        <w:rPr>
          <w:rFonts w:ascii="Calibri" w:cs="Calibri" w:eastAsia="Calibri" w:hAnsi="Calibri"/>
          <w:b/>
          <w:bCs/>
          <w:color w:val="006633"/>
          <w:sz w:val="28"/>
          <w:szCs w:val="28"/>
        </w:rPr>
        <w:t xml:space="preserve">SOMMAIRE</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I.    INTRODUCTION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I.1   Contexte et problématique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I.2   Objectifs du projet</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I.3   Méthodologie adoptée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II.   DÉVELOPPEMENT TECHNIQUE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4</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II.1  Architecture modulaire du projet</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4</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II.2  Pipeline de prétraitement des données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II.3  Modélisation et entraînement</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III.  RÉSULTATS ET DISCUSSION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7</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III.1 Performances comparées des modèles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7</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III.2 Analyse des variables prédictives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8</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val="false"/>
                <w:bCs w:val="false"/>
                <w:color w:val="444444"/>
                <w:sz w:val="20"/>
                <w:szCs w:val="20"/>
              </w:rPr>
              <w:t xml:space="preserve">  III.3 Limites et axes d'amélioration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8</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IV.   CONCLUSION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9</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BIBLIOGRAPHIE / WEBOGRAPHIE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10</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pPr>
              <w:jc w:val="left"/>
            </w:pPr>
            <w:r>
              <w:rPr>
                <w:rFonts w:ascii="Calibri" w:cs="Calibri" w:eastAsia="Calibri" w:hAnsi="Calibri"/>
                <w:b/>
                <w:bCs/>
                <w:color w:val="004422"/>
                <w:sz w:val="22"/>
                <w:szCs w:val="22"/>
              </w:rPr>
              <w:t xml:space="preserve">ANNEXES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sz w:val="20"/>
                <w:szCs w:val="20"/>
              </w:rPr>
              <w:t xml:space="preserve">11</w:t>
            </w:r>
          </w:p>
        </w:tc>
      </w:tr>
    </w:tbl>
    <w:p>
      <w:r>
        <w:br w:type="page"/>
      </w:r>
    </w:p>
    <w:p>
      <w:pPr>
        <w:pStyle w:val="Heading1"/>
        <w:spacing w:before="320" w:after="160"/>
      </w:pPr>
      <w:r>
        <w:rPr>
          <w:rFonts w:ascii="Calibri" w:cs="Calibri" w:eastAsia="Calibri" w:hAnsi="Calibri"/>
          <w:b/>
          <w:bCs/>
          <w:color w:val="006633"/>
          <w:sz w:val="28"/>
          <w:szCs w:val="28"/>
        </w:rPr>
        <w:t xml:space="preserve">I. INTRODUCTION</w:t>
      </w:r>
    </w:p>
    <w:p>
      <w:pPr>
        <w:pBdr>
          <w:bottom w:val="single" w:color="006633" w:sz="4" w:space="4"/>
        </w:pBdr>
        <w:spacing w:before="120" w:after="120"/>
      </w:pPr>
      <w:r>
        <w:t xml:space="preserve"/>
      </w:r>
    </w:p>
    <w:p>
      <w:pPr>
        <w:pStyle w:val="Heading2"/>
        <w:spacing w:before="200" w:after="100"/>
      </w:pPr>
      <w:r>
        <w:rPr>
          <w:rFonts w:ascii="Calibri" w:cs="Calibri" w:eastAsia="Calibri" w:hAnsi="Calibri"/>
          <w:b/>
          <w:bCs/>
          <w:color w:val="004422"/>
          <w:sz w:val="24"/>
          <w:szCs w:val="24"/>
        </w:rPr>
        <w:t xml:space="preserve">I.1 Contexte et problématique</w:t>
      </w:r>
    </w:p>
    <w:p>
      <w:pPr>
        <w:spacing w:before="80" w:after="80"/>
        <w:ind w:firstLine="360"/>
        <w:jc w:val="both"/>
      </w:pPr>
      <w:r>
        <w:rPr>
          <w:rFonts w:ascii="Calibri" w:cs="Calibri" w:eastAsia="Calibri" w:hAnsi="Calibri"/>
          <w:sz w:val="22"/>
          <w:szCs w:val="22"/>
        </w:rPr>
        <w:t xml:space="preserve">Dans un contexte économique marocain marqué par une croissance soutenue du crédit à la consommation et aux entreprises, la maîtrise du risque de défaut de paiement représente un enjeu stratégique majeur pour les établissements financiers. L'évaluation automatisée de ce risque, s'appuyant sur des techniques d'apprentissage automatique, permet d'objectiver les décisions d'octroi de crédit tout en réduisant les délais de traitement.</w:t>
      </w:r>
    </w:p>
    <w:p>
      <w:pPr>
        <w:spacing w:before="80" w:after="80"/>
        <w:ind w:firstLine="360"/>
        <w:jc w:val="both"/>
      </w:pPr>
      <w:r>
        <w:rPr>
          <w:rFonts w:ascii="Calibri" w:cs="Calibri" w:eastAsia="Calibri" w:hAnsi="Calibri"/>
          <w:sz w:val="22"/>
          <w:szCs w:val="22"/>
        </w:rPr>
        <w:t xml:space="preserve">Le présent projet s'inscrit dans cette dynamique en proposant une solution algorithmique fondée sur le jeu de données credit_risk_dataset.xlsx, lequel recense un ensemble de variables financières et socio-démographiques associées à des clients et à leur comportement de remboursement. La variable cible, désignée par Defaut_Paiement, constitue l'indicateur binaire de risque que les modèles développés cherchent à prédire.</w:t>
      </w:r>
    </w:p>
    <w:p>
      <w:pPr>
        <w:pStyle w:val="Heading2"/>
        <w:spacing w:before="200" w:after="100"/>
      </w:pPr>
      <w:r>
        <w:rPr>
          <w:rFonts w:ascii="Calibri" w:cs="Calibri" w:eastAsia="Calibri" w:hAnsi="Calibri"/>
          <w:b/>
          <w:bCs/>
          <w:color w:val="004422"/>
          <w:sz w:val="24"/>
          <w:szCs w:val="24"/>
        </w:rPr>
        <w:t xml:space="preserve">I.2 Objectifs du projet</w:t>
      </w:r>
    </w:p>
    <w:p>
      <w:pPr>
        <w:spacing w:before="60" w:after="60"/>
        <w:jc w:val="both"/>
      </w:pPr>
      <w:r>
        <w:rPr>
          <w:rFonts w:ascii="Calibri" w:cs="Calibri" w:eastAsia="Calibri" w:hAnsi="Calibri"/>
          <w:sz w:val="22"/>
          <w:szCs w:val="22"/>
        </w:rPr>
        <w:t xml:space="preserve">Ce travail poursuit un double objectif :</w:t>
      </w:r>
    </w:p>
    <w:p>
      <w:pPr>
        <w:pStyle w:val="ListParagraph"/>
        <w:numPr>
          <w:ilvl w:val="0"/>
          <w:numId w:val="2"/>
        </w:numPr>
        <w:spacing w:before="60" w:after="60"/>
      </w:pPr>
      <w:r>
        <w:rPr>
          <w:rFonts w:ascii="Calibri" w:cs="Calibri" w:eastAsia="Calibri" w:hAnsi="Calibri"/>
          <w:sz w:val="22"/>
          <w:szCs w:val="22"/>
        </w:rPr>
        <w:t xml:space="preserve">Sur le plan technique : transformer un script Python monolithique de prédiction en une architecture modulaire, maintenable et déployable, conforme aux bonnes pratiques du génie logiciel.</w:t>
      </w:r>
    </w:p>
    <w:p>
      <w:pPr>
        <w:pStyle w:val="ListParagraph"/>
        <w:numPr>
          <w:ilvl w:val="0"/>
          <w:numId w:val="2"/>
        </w:numPr>
        <w:spacing w:before="60" w:after="60"/>
      </w:pPr>
      <w:r>
        <w:rPr>
          <w:rFonts w:ascii="Calibri" w:cs="Calibri" w:eastAsia="Calibri" w:hAnsi="Calibri"/>
          <w:sz w:val="22"/>
          <w:szCs w:val="22"/>
        </w:rPr>
        <w:t xml:space="preserve">Sur le plan analytique : comparer les performances de plusieurs algorithmes de classification afin d'identifier le modèle le plus adapté à la problématique du risque de crédit.</w:t>
      </w:r>
    </w:p>
    <w:p>
      <w:pPr>
        <w:pStyle w:val="Heading2"/>
        <w:spacing w:before="200" w:after="100"/>
      </w:pPr>
      <w:r>
        <w:rPr>
          <w:rFonts w:ascii="Calibri" w:cs="Calibri" w:eastAsia="Calibri" w:hAnsi="Calibri"/>
          <w:b/>
          <w:bCs/>
          <w:color w:val="004422"/>
          <w:sz w:val="24"/>
          <w:szCs w:val="24"/>
        </w:rPr>
        <w:t xml:space="preserve">I.3 Méthodologie adoptée</w:t>
      </w:r>
    </w:p>
    <w:p>
      <w:pPr>
        <w:spacing w:before="80" w:after="80"/>
        <w:ind w:firstLine="360"/>
        <w:jc w:val="both"/>
      </w:pPr>
      <w:r>
        <w:rPr>
          <w:rFonts w:ascii="Calibri" w:cs="Calibri" w:eastAsia="Calibri" w:hAnsi="Calibri"/>
          <w:sz w:val="22"/>
          <w:szCs w:val="22"/>
        </w:rPr>
        <w:t xml:space="preserve">La démarche suivie s'articule autour du paradigme du Pipeline Scikit-Learn, qui garantit une séparation nette entre les étapes de prétraitement et de modélisation. Ce choix technique présente l'avantage de prévenir les phénomènes de fuite de données (data leakage) et de faciliter la validation croisée. Le projet a été conduit selon les étapes classiques du cycle CRISP-DM : compréhension des données, préparation, modélisation, évaluation et déploiement.</w:t>
      </w:r>
    </w:p>
    <w:p>
      <w:pPr>
        <w:spacing w:before="120"/>
      </w:pPr>
      <w:r>
        <w:t xml:space="preserve"/>
      </w:r>
    </w:p>
    <w:p>
      <w:r>
        <w:br w:type="page"/>
      </w:r>
    </w:p>
    <w:p>
      <w:pPr>
        <w:pStyle w:val="Heading1"/>
        <w:spacing w:before="320" w:after="160"/>
      </w:pPr>
      <w:r>
        <w:rPr>
          <w:rFonts w:ascii="Calibri" w:cs="Calibri" w:eastAsia="Calibri" w:hAnsi="Calibri"/>
          <w:b/>
          <w:bCs/>
          <w:color w:val="006633"/>
          <w:sz w:val="28"/>
          <w:szCs w:val="28"/>
        </w:rPr>
        <w:t xml:space="preserve">II. DÉVELOPPEMENT TECHNIQUE</w:t>
      </w:r>
    </w:p>
    <w:p>
      <w:pPr>
        <w:pBdr>
          <w:bottom w:val="single" w:color="006633" w:sz="4" w:space="4"/>
        </w:pBdr>
        <w:spacing w:before="120" w:after="120"/>
      </w:pPr>
      <w:r>
        <w:t xml:space="preserve"/>
      </w:r>
    </w:p>
    <w:p>
      <w:pPr>
        <w:pStyle w:val="Heading2"/>
        <w:spacing w:before="200" w:after="100"/>
      </w:pPr>
      <w:r>
        <w:rPr>
          <w:rFonts w:ascii="Calibri" w:cs="Calibri" w:eastAsia="Calibri" w:hAnsi="Calibri"/>
          <w:b/>
          <w:bCs/>
          <w:color w:val="004422"/>
          <w:sz w:val="24"/>
          <w:szCs w:val="24"/>
        </w:rPr>
        <w:t xml:space="preserve">II.1 Architecture modulaire du projet</w:t>
      </w:r>
    </w:p>
    <w:p>
      <w:pPr>
        <w:spacing w:before="80" w:after="80"/>
        <w:ind w:firstLine="360"/>
        <w:jc w:val="both"/>
      </w:pPr>
      <w:r>
        <w:rPr>
          <w:rFonts w:ascii="Calibri" w:cs="Calibri" w:eastAsia="Calibri" w:hAnsi="Calibri"/>
          <w:sz w:val="22"/>
          <w:szCs w:val="22"/>
        </w:rPr>
        <w:t xml:space="preserve">L'une des contributions centrales de ce travail réside dans la refactorisation complète du code source initial. Afin de respecter le principe de responsabilité unique (Single Responsibility Principle), le projet a été découpé en cinq modules distincts, chacun assumant une fonction précise dans la chaîne de traitement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6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 et responsabilité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color w:val="004422"/>
                <w:sz w:val="20"/>
                <w:szCs w:val="20"/>
              </w:rPr>
              <w:t xml:space="preserve">data_loader.py</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Chargement du fichier Excel, exploration statistique initiale et rapport de qualité des données (valeurs manquantes,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4422"/>
                <w:sz w:val="20"/>
                <w:szCs w:val="20"/>
              </w:rPr>
              <w:t xml:space="preserve">preprocessing.py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Définition du pipeline de transformation : imputation, normalisation (variables numériques) et encodage One-Hot (variables catégorielles).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color w:val="004422"/>
                <w:sz w:val="20"/>
                <w:szCs w:val="20"/>
              </w:rPr>
              <w:t xml:space="preserve">models.py</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Instanciation et configuration des algorithmes de classification (Régression Logistique, Random Forest).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4422"/>
                <w:sz w:val="20"/>
                <w:szCs w:val="20"/>
              </w:rPr>
              <w:t xml:space="preserve">evaluation.py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Calcul des métriques de performance, génération des matrices de confusion et visualisation des importances de variables.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color w:val="004422"/>
                <w:sz w:val="20"/>
                <w:szCs w:val="20"/>
              </w:rPr>
              <w:t xml:space="preserve">main.py</w:t>
            </w:r>
          </w:p>
        </w:tc>
        <w:tc>
          <w:tcPr>
            <w:tcW w:type="dxa" w:w="6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Point d'entrée orchestrant l'ensemble du flux de travail, de la lecture des données à la production des résultats.</w:t>
            </w:r>
          </w:p>
        </w:tc>
      </w:tr>
    </w:tbl>
    <w:p>
      <w:pPr>
        <w:spacing w:before="120"/>
      </w:pPr>
      <w:r>
        <w:t xml:space="preserve"/>
      </w:r>
    </w:p>
    <w:p>
      <w:pPr>
        <w:spacing w:before="80" w:after="80"/>
        <w:ind w:firstLine="360"/>
        <w:jc w:val="both"/>
      </w:pPr>
      <w:r>
        <w:rPr>
          <w:rFonts w:ascii="Calibri" w:cs="Calibri" w:eastAsia="Calibri" w:hAnsi="Calibri"/>
          <w:sz w:val="22"/>
          <w:szCs w:val="22"/>
        </w:rPr>
        <w:t xml:space="preserve">Cette architecture favorise la testabilité unitaire de chaque composant et simplifie les évolutions futures du système, notamment l'intégration de nouveaux algorithmes ou de sources de données supplémentaires.</w:t>
      </w:r>
    </w:p>
    <w:p>
      <w:pPr>
        <w:pStyle w:val="Heading2"/>
        <w:spacing w:before="200" w:after="100"/>
      </w:pPr>
      <w:r>
        <w:rPr>
          <w:rFonts w:ascii="Calibri" w:cs="Calibri" w:eastAsia="Calibri" w:hAnsi="Calibri"/>
          <w:b/>
          <w:bCs/>
          <w:color w:val="004422"/>
          <w:sz w:val="24"/>
          <w:szCs w:val="24"/>
        </w:rPr>
        <w:t xml:space="preserve">II.2 Pipeline de prétraitement des données</w:t>
      </w:r>
    </w:p>
    <w:p>
      <w:pPr>
        <w:spacing w:before="80" w:after="80"/>
        <w:ind w:firstLine="360"/>
        <w:jc w:val="both"/>
      </w:pPr>
      <w:r>
        <w:rPr>
          <w:rFonts w:ascii="Calibri" w:cs="Calibri" w:eastAsia="Calibri" w:hAnsi="Calibri"/>
          <w:sz w:val="22"/>
          <w:szCs w:val="22"/>
        </w:rPr>
        <w:t xml:space="preserve">Le prétraitement constitue une étape déterminante dans tout projet d'apprentissage automatique. Les données financières présentent en effet des caractéristiques spécifiques — hétérogénéité des types, valeurs aberrantes, distributions asymétriques — qui nécessitent un traitement rigoureux avant toute modélisation.</w:t>
      </w:r>
    </w:p>
    <w:p>
      <w:pPr>
        <w:spacing w:before="60" w:after="60"/>
        <w:jc w:val="both"/>
      </w:pPr>
      <w:r>
        <w:rPr>
          <w:rFonts w:ascii="Calibri" w:cs="Calibri" w:eastAsia="Calibri" w:hAnsi="Calibri"/>
          <w:sz w:val="22"/>
          <w:szCs w:val="22"/>
        </w:rPr>
        <w:t xml:space="preserve">Le pipeline implémenté dans preprocessing.py distingue deux flux de transformation :</w:t>
      </w:r>
    </w:p>
    <w:p>
      <w:pPr>
        <w:pStyle w:val="ListParagraph"/>
        <w:numPr>
          <w:ilvl w:val="0"/>
          <w:numId w:val="2"/>
        </w:numPr>
        <w:spacing w:before="60" w:after="60"/>
      </w:pPr>
      <w:r>
        <w:rPr>
          <w:rFonts w:ascii="Calibri" w:cs="Calibri" w:eastAsia="Calibri" w:hAnsi="Calibri"/>
          <w:sz w:val="22"/>
          <w:szCs w:val="22"/>
        </w:rPr>
        <w:t xml:space="preserve">Variables numériques : les valeurs manquantes sont imputées par la médiane, statistique robuste aux valeurs extrêmes. Une normalisation est ensuite appliquée via StandardScaler afin de centrer et réduire les distributions, condition nécessaire au bon fonctionnement de la régression logistique.</w:t>
      </w:r>
    </w:p>
    <w:p>
      <w:pPr>
        <w:pStyle w:val="ListParagraph"/>
        <w:numPr>
          <w:ilvl w:val="0"/>
          <w:numId w:val="2"/>
        </w:numPr>
        <w:spacing w:before="60" w:after="60"/>
      </w:pPr>
      <w:r>
        <w:rPr>
          <w:rFonts w:ascii="Calibri" w:cs="Calibri" w:eastAsia="Calibri" w:hAnsi="Calibri"/>
          <w:sz w:val="22"/>
          <w:szCs w:val="22"/>
        </w:rPr>
        <w:t xml:space="preserve">Variables catégorielles : l'imputation est réalisée par la modalité la plus fréquente (mode). L'encodage One-Hot (OneHotEncoder) transforme ensuite chaque modalité en une variable binaire, permettant ainsi aux algorithmes de traiter ces informations qualitatives.</w:t>
      </w:r>
    </w:p>
    <w:p>
      <w:pPr>
        <w:spacing w:before="80" w:after="80"/>
        <w:ind w:firstLine="360"/>
        <w:jc w:val="both"/>
      </w:pPr>
      <w:r>
        <w:rPr>
          <w:rFonts w:ascii="Calibri" w:cs="Calibri" w:eastAsia="Calibri" w:hAnsi="Calibri"/>
          <w:sz w:val="22"/>
          <w:szCs w:val="22"/>
        </w:rPr>
        <w:t xml:space="preserve">L'utilisation d'un ColumnTransformer permet d'appliquer ces deux flux en parallèle, puis de concaténer les résultats pour constituer la matrice de features finale transmise aux modèles.</w:t>
      </w:r>
    </w:p>
    <w:p>
      <w:pPr>
        <w:pStyle w:val="Heading2"/>
        <w:spacing w:before="200" w:after="100"/>
      </w:pPr>
      <w:r>
        <w:rPr>
          <w:rFonts w:ascii="Calibri" w:cs="Calibri" w:eastAsia="Calibri" w:hAnsi="Calibri"/>
          <w:b/>
          <w:bCs/>
          <w:color w:val="004422"/>
          <w:sz w:val="24"/>
          <w:szCs w:val="24"/>
        </w:rPr>
        <w:t xml:space="preserve">II.3 Modélisation et entraînement</w:t>
      </w:r>
    </w:p>
    <w:p>
      <w:pPr>
        <w:spacing w:before="80" w:after="80"/>
        <w:ind w:firstLine="360"/>
        <w:jc w:val="both"/>
      </w:pPr>
      <w:r>
        <w:rPr>
          <w:rFonts w:ascii="Calibri" w:cs="Calibri" w:eastAsia="Calibri" w:hAnsi="Calibri"/>
          <w:sz w:val="22"/>
          <w:szCs w:val="22"/>
        </w:rPr>
        <w:t xml:space="preserve">Deux algorithmes de classification ont été sélectionnés pour cette étude comparative, choisis pour leur complémentarité en termes de complexité et d'interprétabilité :</w:t>
      </w:r>
    </w:p>
    <w:p>
      <w:pPr>
        <w:pStyle w:val="ListParagraph"/>
        <w:numPr>
          <w:ilvl w:val="0"/>
          <w:numId w:val="2"/>
        </w:numPr>
        <w:spacing w:before="60" w:after="60"/>
      </w:pPr>
      <w:r>
        <w:rPr>
          <w:rFonts w:ascii="Calibri" w:cs="Calibri" w:eastAsia="Calibri" w:hAnsi="Calibri"/>
          <w:sz w:val="22"/>
          <w:szCs w:val="22"/>
        </w:rPr>
        <w:t xml:space="preserve">La Régression Logistique constitue un modèle linéaire dont l'interprétation des coefficients est directe. Elle est particulièrement adaptée lorsque la relation entre les variables explicatives et la variable cible peut être approximée par une frontière de décision linéaire. Sa rapidité d'entraînement et sa transparence en font un choix de référence dans les environnements réglementés, tels que le secteur bancaire.</w:t>
      </w:r>
    </w:p>
    <w:p>
      <w:pPr>
        <w:pStyle w:val="ListParagraph"/>
        <w:numPr>
          <w:ilvl w:val="0"/>
          <w:numId w:val="2"/>
        </w:numPr>
        <w:spacing w:before="60" w:after="60"/>
      </w:pPr>
      <w:r>
        <w:rPr>
          <w:rFonts w:ascii="Calibri" w:cs="Calibri" w:eastAsia="Calibri" w:hAnsi="Calibri"/>
          <w:sz w:val="22"/>
          <w:szCs w:val="22"/>
        </w:rPr>
        <w:t xml:space="preserve">Le Random Forest est un algorithme ensembliste fondé sur l'agrégation de multiples arbres de décision entraînés sur des sous-échantillons aléatoires des données et des features. Il excelle dans la capture de relations non-linéaires et d'interactions complexes entre variables, au prix d'une interprétabilité moindre.</w:t>
      </w:r>
    </w:p>
    <w:p>
      <w:pPr>
        <w:spacing w:before="80" w:after="80"/>
        <w:ind w:firstLine="360"/>
        <w:jc w:val="both"/>
      </w:pPr>
      <w:r>
        <w:rPr>
          <w:rFonts w:ascii="Calibri" w:cs="Calibri" w:eastAsia="Calibri" w:hAnsi="Calibri"/>
          <w:sz w:val="22"/>
          <w:szCs w:val="22"/>
        </w:rPr>
        <w:t xml:space="preserve">Chaque modèle a été intégré au sein du Pipeline Scikit-Learn à la suite des étapes de prétraitement, garantissant ainsi une cohérence totale entre les données d'entraînement et celles de test.</w:t>
      </w:r>
    </w:p>
    <w:p>
      <w:pPr>
        <w:spacing w:before="120"/>
      </w:pPr>
      <w:r>
        <w:t xml:space="preserve"/>
      </w:r>
    </w:p>
    <w:p>
      <w:r>
        <w:br w:type="page"/>
      </w:r>
    </w:p>
    <w:p>
      <w:pPr>
        <w:pStyle w:val="Heading1"/>
        <w:spacing w:before="320" w:after="160"/>
      </w:pPr>
      <w:r>
        <w:rPr>
          <w:rFonts w:ascii="Calibri" w:cs="Calibri" w:eastAsia="Calibri" w:hAnsi="Calibri"/>
          <w:b/>
          <w:bCs/>
          <w:color w:val="006633"/>
          <w:sz w:val="28"/>
          <w:szCs w:val="28"/>
        </w:rPr>
        <w:t xml:space="preserve">III. RÉSULTATS ET DISCUSSION</w:t>
      </w:r>
    </w:p>
    <w:p>
      <w:pPr>
        <w:pBdr>
          <w:bottom w:val="single" w:color="006633" w:sz="4" w:space="4"/>
        </w:pBdr>
        <w:spacing w:before="120" w:after="120"/>
      </w:pPr>
      <w:r>
        <w:t xml:space="preserve"/>
      </w:r>
    </w:p>
    <w:p>
      <w:pPr>
        <w:pStyle w:val="Heading2"/>
        <w:spacing w:before="200" w:after="100"/>
      </w:pPr>
      <w:r>
        <w:rPr>
          <w:rFonts w:ascii="Calibri" w:cs="Calibri" w:eastAsia="Calibri" w:hAnsi="Calibri"/>
          <w:b/>
          <w:bCs/>
          <w:color w:val="004422"/>
          <w:sz w:val="24"/>
          <w:szCs w:val="24"/>
        </w:rPr>
        <w:t xml:space="preserve">III.1 Performances comparées des modèles</w:t>
      </w:r>
    </w:p>
    <w:p>
      <w:pPr>
        <w:spacing w:before="80" w:after="80"/>
        <w:ind w:firstLine="360"/>
        <w:jc w:val="both"/>
      </w:pPr>
      <w:r>
        <w:rPr>
          <w:rFonts w:ascii="Calibri" w:cs="Calibri" w:eastAsia="Calibri" w:hAnsi="Calibri"/>
          <w:sz w:val="22"/>
          <w:szCs w:val="22"/>
        </w:rPr>
        <w:t xml:space="preserve">Les deux modèles ont été évalués sur un jeu de test représentatif, en utilisant l'accuracy (précision globale) comme métrique principale de comparaison. Le tableau ci-après synthétise les résultats obtenus :</w:t>
      </w:r>
    </w:p>
    <w:p>
      <w:pPr>
        <w:spacing w:before="80"/>
      </w:pPr>
      <w:r>
        <w:t xml:space="preserve"/>
      </w:r>
    </w:p>
    <w:p>
      <w:pPr>
        <w:spacing w:before="60" w:after="80"/>
        <w:jc w:val="center"/>
      </w:pPr>
      <w:r>
        <w:rPr>
          <w:rFonts w:ascii="Calibri" w:cs="Calibri" w:eastAsia="Calibri" w:hAnsi="Calibri"/>
          <w:i/>
          <w:iCs/>
          <w:color w:val="555555"/>
          <w:sz w:val="20"/>
          <w:szCs w:val="20"/>
        </w:rPr>
        <w:t xml:space="preserve">Tableau 1 : Comparaison des performances des modèles de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Modèle</w:t>
            </w:r>
          </w:p>
        </w:tc>
        <w:tc>
          <w:tcPr>
            <w:tcW w:type="dxa" w:w="3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Accuracy</w:t>
            </w:r>
          </w:p>
        </w:tc>
        <w:tc>
          <w:tcPr>
            <w:tcW w:type="dxa" w:w="26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Interprétabilité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Régression Logistique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alibri" w:cs="Calibri" w:eastAsia="Calibri" w:hAnsi="Calibri"/>
                <w:b/>
                <w:bCs/>
                <w:color w:val="006633"/>
                <w:sz w:val="20"/>
                <w:szCs w:val="20"/>
              </w:rPr>
              <w:t xml:space="preserve">83,5 %</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alibri" w:cs="Calibri" w:eastAsia="Calibri" w:hAnsi="Calibri"/>
                <w:sz w:val="20"/>
                <w:szCs w:val="20"/>
              </w:rPr>
              <w:t xml:space="preserve">Élevée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Random Forest</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Calibri" w:cs="Calibri" w:eastAsia="Calibri" w:hAnsi="Calibri"/>
                <w:sz w:val="20"/>
                <w:szCs w:val="20"/>
              </w:rPr>
              <w:t xml:space="preserve">81,0 %</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Calibri" w:cs="Calibri" w:eastAsia="Calibri" w:hAnsi="Calibri"/>
                <w:sz w:val="20"/>
                <w:szCs w:val="20"/>
              </w:rPr>
              <w:t xml:space="preserve">Modérée</w:t>
            </w:r>
          </w:p>
        </w:tc>
      </w:tr>
    </w:tbl>
    <w:p>
      <w:pPr>
        <w:spacing w:before="120"/>
      </w:pPr>
      <w:r>
        <w:t xml:space="preserve"/>
      </w:r>
    </w:p>
    <w:p>
      <w:pPr>
        <w:spacing w:before="80" w:after="80"/>
        <w:ind w:firstLine="360"/>
        <w:jc w:val="both"/>
      </w:pPr>
      <w:r>
        <w:rPr>
          <w:rFonts w:ascii="Calibri" w:cs="Calibri" w:eastAsia="Calibri" w:hAnsi="Calibri"/>
          <w:sz w:val="22"/>
          <w:szCs w:val="22"/>
        </w:rPr>
        <w:t xml:space="preserve">Les résultats révèlent que la Régression Logistique surpasse légèrement le Random Forest sur ce dataset, avec une accuracy de 83,5 % contre 81,0 %. Ce résultat, a priori contre-intuitif, s'explique par la nature relativement linéaire des relations entre les variables financières sélectionnées et la variable cible, ainsi que par la taille modérée du jeu de données, qui pénalise les modèles ensemblistes plus gourmands en données.</w:t>
      </w:r>
    </w:p>
    <w:p>
      <w:pPr>
        <w:spacing w:before="80" w:after="80"/>
        <w:ind w:firstLine="360"/>
        <w:jc w:val="both"/>
      </w:pPr>
      <w:r>
        <w:rPr>
          <w:rFonts w:ascii="Calibri" w:cs="Calibri" w:eastAsia="Calibri" w:hAnsi="Calibri"/>
          <w:sz w:val="22"/>
          <w:szCs w:val="22"/>
        </w:rPr>
        <w:t xml:space="preserve">Il convient toutefois de ne pas limiter l'évaluation à la seule accuracy, particulièrement dans le contexte du risque de crédit où le coût d'une fausse classification négative (accorder un crédit à un client défaillant) est structurellement plus élevé que celui d'une fausse classification positive. Des métriques complémentaires telles que le rappel, la précision par classe et l'aire sous la courbe ROC (AUC-ROC) devraient être intégrées dans une analyse complète.</w:t>
      </w:r>
    </w:p>
    <w:p>
      <w:pPr>
        <w:pStyle w:val="Heading2"/>
        <w:spacing w:before="200" w:after="100"/>
      </w:pPr>
      <w:r>
        <w:rPr>
          <w:rFonts w:ascii="Calibri" w:cs="Calibri" w:eastAsia="Calibri" w:hAnsi="Calibri"/>
          <w:b/>
          <w:bCs/>
          <w:color w:val="004422"/>
          <w:sz w:val="24"/>
          <w:szCs w:val="24"/>
        </w:rPr>
        <w:t xml:space="preserve">III.2 Analyse des variables prédictives</w:t>
      </w:r>
    </w:p>
    <w:p>
      <w:pPr>
        <w:spacing w:before="80" w:after="80"/>
        <w:ind w:firstLine="360"/>
        <w:jc w:val="both"/>
      </w:pPr>
      <w:r>
        <w:rPr>
          <w:rFonts w:ascii="Calibri" w:cs="Calibri" w:eastAsia="Calibri" w:hAnsi="Calibri"/>
          <w:sz w:val="22"/>
          <w:szCs w:val="22"/>
        </w:rPr>
        <w:t xml:space="preserve">L'analyse des importances de variables issue du modèle Random Forest apporte un éclairage qualitatif précieux sur les déterminants du risque de défaut. Elle permet d'identifier les facteurs les plus discriminants pour orienter les politiques d'octroi de crédit :</w:t>
      </w:r>
    </w:p>
    <w:p>
      <w:pPr>
        <w:spacing w:before="80"/>
      </w:pPr>
      <w:r>
        <w:t xml:space="preserve"/>
      </w:r>
    </w:p>
    <w:p>
      <w:pPr>
        <w:spacing w:before="60" w:after="80"/>
        <w:jc w:val="center"/>
      </w:pPr>
      <w:r>
        <w:rPr>
          <w:rFonts w:ascii="Calibri" w:cs="Calibri" w:eastAsia="Calibri" w:hAnsi="Calibri"/>
          <w:i/>
          <w:iCs/>
          <w:color w:val="555555"/>
          <w:sz w:val="20"/>
          <w:szCs w:val="20"/>
        </w:rPr>
        <w:t xml:space="preserve">Tableau 2 : Variables les plus prédictives du risque de défaut (Random Forest)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400"/>
      </w:tblGrid>
      <w:tr>
        <w:tc>
          <w:tcPr>
            <w:tcW w:type="dxa" w:w="1200"/>
            <w:tcBorders>
              <w:top w:val="single" w:color="CCCCCC" w:sz="1"/>
              <w:left w:val="single" w:color="CCCCCC" w:sz="1"/>
              <w:bottom w:val="single" w:color="CCCCCC" w:sz="1"/>
              <w:right w:val="single" w:color="CCCCCC" w:sz="1"/>
            </w:tcBorders>
            <w:shd w:fill="0044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Rang</w:t>
            </w:r>
          </w:p>
        </w:tc>
        <w:tc>
          <w:tcPr>
            <w:tcW w:type="dxa" w:w="5400"/>
            <w:tcBorders>
              <w:top w:val="single" w:color="CCCCCC" w:sz="1"/>
              <w:left w:val="single" w:color="CCCCCC" w:sz="1"/>
              <w:bottom w:val="single" w:color="CCCCCC" w:sz="1"/>
              <w:right w:val="single" w:color="CCCCCC" w:sz="1"/>
            </w:tcBorders>
            <w:shd w:fill="0044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0044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Importance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Score_Bureau</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~10,6 %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sz w:val="20"/>
                <w:szCs w:val="20"/>
              </w:rPr>
              <w:t xml:space="preserve">Ratio_Endettement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~9,2 %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bCs/>
                <w:sz w:val="20"/>
                <w:szCs w:val="20"/>
              </w:rPr>
              <w:t xml:space="preserve">Revenu_Mensuel_MAD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~5,7 %</w:t>
            </w:r>
          </w:p>
        </w:tc>
      </w:tr>
    </w:tbl>
    <w:p>
      <w:pPr>
        <w:spacing w:before="120"/>
      </w:pPr>
      <w:r>
        <w:t xml:space="preserve"/>
      </w:r>
    </w:p>
    <w:p>
      <w:pPr>
        <w:spacing w:before="80" w:after="80"/>
        <w:ind w:firstLine="360"/>
        <w:jc w:val="both"/>
      </w:pPr>
      <w:r>
        <w:rPr>
          <w:rFonts w:ascii="Calibri" w:cs="Calibri" w:eastAsia="Calibri" w:hAnsi="Calibri"/>
          <w:sz w:val="22"/>
          <w:szCs w:val="22"/>
        </w:rPr>
        <w:t xml:space="preserve">Le Score_Bureau apparaît comme la variable la plus prédictive (~10,6 % d'importance), ce qui confirme l'importance de l'historique de crédit dans l'évaluation du risque. Le Ratio_Endettement (~9,2 %) traduit la capacité du ménage à absorber de nouvelles charges financières, tandis que le Revenu_Mensuel_MAD (~5,7 %) renseigne sur la solvabilité globale du demandeur.</w:t>
      </w:r>
    </w:p>
    <w:p>
      <w:pPr>
        <w:spacing w:before="80" w:after="80"/>
        <w:ind w:firstLine="360"/>
        <w:jc w:val="both"/>
      </w:pPr>
      <w:r>
        <w:rPr>
          <w:rFonts w:ascii="Calibri" w:cs="Calibri" w:eastAsia="Calibri" w:hAnsi="Calibri"/>
          <w:sz w:val="22"/>
          <w:szCs w:val="22"/>
        </w:rPr>
        <w:t xml:space="preserve">Ces résultats sont cohérents avec la littérature académique et les pratiques des institutions financières marocaines, qui accordent une place prépondérante au scoring comportemental dans leurs processus d'évaluation du risque.</w:t>
      </w:r>
    </w:p>
    <w:p>
      <w:pPr>
        <w:pStyle w:val="Heading2"/>
        <w:spacing w:before="200" w:after="100"/>
      </w:pPr>
      <w:r>
        <w:rPr>
          <w:rFonts w:ascii="Calibri" w:cs="Calibri" w:eastAsia="Calibri" w:hAnsi="Calibri"/>
          <w:b/>
          <w:bCs/>
          <w:color w:val="004422"/>
          <w:sz w:val="24"/>
          <w:szCs w:val="24"/>
        </w:rPr>
        <w:t xml:space="preserve">III.3 Limites et axes d'amélioration</w:t>
      </w:r>
    </w:p>
    <w:p>
      <w:pPr>
        <w:spacing w:before="80" w:after="80"/>
        <w:ind w:firstLine="360"/>
        <w:jc w:val="both"/>
      </w:pPr>
      <w:r>
        <w:rPr>
          <w:rFonts w:ascii="Calibri" w:cs="Calibri" w:eastAsia="Calibri" w:hAnsi="Calibri"/>
          <w:sz w:val="22"/>
          <w:szCs w:val="22"/>
        </w:rPr>
        <w:t xml:space="preserve">Bien que les résultats obtenus soient encourageants, plusieurs limites méritent d'être soulignées afin d'orienter les développements futurs :</w:t>
      </w:r>
    </w:p>
    <w:p>
      <w:pPr>
        <w:pStyle w:val="ListParagraph"/>
        <w:numPr>
          <w:ilvl w:val="0"/>
          <w:numId w:val="3"/>
        </w:numPr>
        <w:spacing w:before="60" w:after="60"/>
      </w:pPr>
      <w:r>
        <w:rPr>
          <w:rFonts w:ascii="Calibri" w:cs="Calibri" w:eastAsia="Calibri" w:hAnsi="Calibri"/>
          <w:sz w:val="22"/>
          <w:szCs w:val="22"/>
        </w:rPr>
        <w:t xml:space="preserve">Optimisation des hyperparamètres : les modèles présentés utilisent des paramètres par défaut. Une recherche systématique par Grid Search ou RandomizedSearchCV permettrait d'améliorer significativement leurs performances.</w:t>
      </w:r>
    </w:p>
    <w:p>
      <w:pPr>
        <w:pStyle w:val="ListParagraph"/>
        <w:numPr>
          <w:ilvl w:val="0"/>
          <w:numId w:val="3"/>
        </w:numPr>
        <w:spacing w:before="60" w:after="60"/>
      </w:pPr>
      <w:r>
        <w:rPr>
          <w:rFonts w:ascii="Calibri" w:cs="Calibri" w:eastAsia="Calibri" w:hAnsi="Calibri"/>
          <w:sz w:val="22"/>
          <w:szCs w:val="22"/>
        </w:rPr>
        <w:t xml:space="preserve">Gestion du déséquilibre des classes : si la distribution de la variable Defaut_Paiement est déséquilibrée — ce qui est fréquent dans les datasets de crédit —, des techniques de rééchantillonnage comme SMOTE (Synthetic Minority Over-sampling Technique) s'avèrent nécessaires pour éviter un biais en faveur de la classe majoritaire.</w:t>
      </w:r>
    </w:p>
    <w:p>
      <w:pPr>
        <w:pStyle w:val="ListParagraph"/>
        <w:numPr>
          <w:ilvl w:val="0"/>
          <w:numId w:val="3"/>
        </w:numPr>
        <w:spacing w:before="60" w:after="60"/>
      </w:pPr>
      <w:r>
        <w:rPr>
          <w:rFonts w:ascii="Calibri" w:cs="Calibri" w:eastAsia="Calibri" w:hAnsi="Calibri"/>
          <w:sz w:val="22"/>
          <w:szCs w:val="22"/>
        </w:rPr>
        <w:t xml:space="preserve">Feature Engineering : la création de nouvelles variables financières dérivées (ratio charges/revenus, ancienneté de la relation bancaire, volatilité du solde) pourrait enrichir la capacité prédictive des modèles.</w:t>
      </w:r>
    </w:p>
    <w:p>
      <w:pPr>
        <w:pStyle w:val="ListParagraph"/>
        <w:numPr>
          <w:ilvl w:val="0"/>
          <w:numId w:val="3"/>
        </w:numPr>
        <w:spacing w:before="60" w:after="60"/>
      </w:pPr>
      <w:r>
        <w:rPr>
          <w:rFonts w:ascii="Calibri" w:cs="Calibri" w:eastAsia="Calibri" w:hAnsi="Calibri"/>
          <w:sz w:val="22"/>
          <w:szCs w:val="22"/>
        </w:rPr>
        <w:t xml:space="preserve">Validation temporelle : une validation croisée temporelle (walk-forward validation) serait plus représentative de la réalité opérationnelle que la division aléatoire train/test.</w:t>
      </w:r>
    </w:p>
    <w:p>
      <w:pPr>
        <w:spacing w:before="120"/>
      </w:pPr>
      <w:r>
        <w:t xml:space="preserve"/>
      </w:r>
    </w:p>
    <w:p>
      <w:r>
        <w:br w:type="page"/>
      </w:r>
    </w:p>
    <w:p>
      <w:pPr>
        <w:pStyle w:val="Heading1"/>
        <w:spacing w:before="320" w:after="160"/>
      </w:pPr>
      <w:r>
        <w:rPr>
          <w:rFonts w:ascii="Calibri" w:cs="Calibri" w:eastAsia="Calibri" w:hAnsi="Calibri"/>
          <w:b/>
          <w:bCs/>
          <w:color w:val="006633"/>
          <w:sz w:val="28"/>
          <w:szCs w:val="28"/>
        </w:rPr>
        <w:t xml:space="preserve">IV. CONCLUSION</w:t>
      </w:r>
    </w:p>
    <w:p>
      <w:pPr>
        <w:pBdr>
          <w:bottom w:val="single" w:color="006633" w:sz="4" w:space="4"/>
        </w:pBdr>
        <w:spacing w:before="120" w:after="120"/>
      </w:pPr>
      <w:r>
        <w:t xml:space="preserve"/>
      </w:r>
    </w:p>
    <w:p>
      <w:pPr>
        <w:spacing w:before="80" w:after="80"/>
        <w:ind w:firstLine="360"/>
        <w:jc w:val="both"/>
      </w:pPr>
      <w:r>
        <w:rPr>
          <w:rFonts w:ascii="Calibri" w:cs="Calibri" w:eastAsia="Calibri" w:hAnsi="Calibri"/>
          <w:sz w:val="22"/>
          <w:szCs w:val="22"/>
        </w:rPr>
        <w:t xml:space="preserve">Ce projet a permis de mener à bien deux objectifs complémentaires. Sur le plan de l'ingénierie logicielle, le refactoring du code source en une architecture modulaire à cinq composants constitue une avancée significative vers un système maintenable, extensible et conforme aux standards de développement professionnel. Sur le plan analytique, la comparaison des deux algorithmes de classification a permis d'établir que la Régression Logistique, avec une accuracy de 83,5 %, représente actuellement la meilleure option pour ce dataset et cette problématique.</w:t>
      </w:r>
    </w:p>
    <w:p>
      <w:pPr>
        <w:spacing w:before="80" w:after="80"/>
        <w:ind w:firstLine="360"/>
        <w:jc w:val="both"/>
      </w:pPr>
      <w:r>
        <w:rPr>
          <w:rFonts w:ascii="Calibri" w:cs="Calibri" w:eastAsia="Calibri" w:hAnsi="Calibri"/>
          <w:sz w:val="22"/>
          <w:szCs w:val="22"/>
        </w:rPr>
        <w:t xml:space="preserve">Ces résultats s'inscrivent dans un contexte plus large de digitalisation du secteur financier marocain, où l'automatisation de l'évaluation du risque de crédit constitue un levier stratégique pour améliorer l'inclusion financière et la compétitivité des établissements bancaires. Les axes d'amélioration identifiés — optimisation des hyperparamètres, gestion du déséquilibre des classes, enrichissement des features — constituent une feuille de route claire pour les développements ultérieurs.</w:t>
      </w:r>
    </w:p>
    <w:p>
      <w:pPr>
        <w:spacing w:before="80" w:after="80"/>
        <w:ind w:firstLine="360"/>
        <w:jc w:val="both"/>
      </w:pPr>
      <w:r>
        <w:rPr>
          <w:rFonts w:ascii="Calibri" w:cs="Calibri" w:eastAsia="Calibri" w:hAnsi="Calibri"/>
          <w:sz w:val="22"/>
          <w:szCs w:val="22"/>
        </w:rPr>
        <w:t xml:space="preserve">En définitive, ce travail démontre qu'une approche structurée et modulaire de la data science, ancrée dans les bonnes pratiques du génie logiciel, est une condition nécessaire à la mise en production de solutions d'intelligence artificielle fiables et auditables dans le secteur financier.</w:t>
      </w:r>
    </w:p>
    <w:p>
      <w:pPr>
        <w:spacing w:before="120"/>
      </w:pPr>
      <w:r>
        <w:t xml:space="preserve"/>
      </w:r>
    </w:p>
    <w:p>
      <w:r>
        <w:br w:type="page"/>
      </w:r>
    </w:p>
    <w:p>
      <w:pPr>
        <w:pStyle w:val="Heading1"/>
        <w:spacing w:before="320" w:after="160"/>
      </w:pPr>
      <w:r>
        <w:rPr>
          <w:rFonts w:ascii="Calibri" w:cs="Calibri" w:eastAsia="Calibri" w:hAnsi="Calibri"/>
          <w:b/>
          <w:bCs/>
          <w:color w:val="006633"/>
          <w:sz w:val="28"/>
          <w:szCs w:val="28"/>
        </w:rPr>
        <w:t xml:space="preserve">BIBLIOGRAPHIE / WEBOGRAPHIE</w:t>
      </w:r>
    </w:p>
    <w:p>
      <w:pPr>
        <w:pBdr>
          <w:bottom w:val="single" w:color="006633" w:sz="4" w:space="4"/>
        </w:pBdr>
        <w:spacing w:before="120" w:after="120"/>
      </w:pPr>
      <w:r>
        <w:t xml:space="preserve"/>
      </w:r>
    </w:p>
    <w:p>
      <w:pPr>
        <w:spacing w:before="60" w:after="60"/>
        <w:jc w:val="both"/>
      </w:pPr>
      <w:r>
        <w:rPr>
          <w:rFonts w:ascii="Calibri" w:cs="Calibri" w:eastAsia="Calibri" w:hAnsi="Calibri"/>
          <w:sz w:val="22"/>
          <w:szCs w:val="22"/>
        </w:rPr>
        <w:t xml:space="preserve">Ouvrages de référence :</w:t>
      </w:r>
    </w:p>
    <w:p>
      <w:pPr>
        <w:pStyle w:val="ListParagraph"/>
        <w:numPr>
          <w:ilvl w:val="0"/>
          <w:numId w:val="2"/>
        </w:numPr>
        <w:spacing w:before="60" w:after="60"/>
      </w:pPr>
      <w:r>
        <w:rPr>
          <w:rFonts w:ascii="Calibri" w:cs="Calibri" w:eastAsia="Calibri" w:hAnsi="Calibri"/>
          <w:sz w:val="22"/>
          <w:szCs w:val="22"/>
        </w:rPr>
        <w:t xml:space="preserve">Géron, A. (2022). Hands-On Machine Learning with Scikit-Learn, Keras, and TensorFlow (3e éd.). O'Reilly Media.</w:t>
      </w:r>
    </w:p>
    <w:p>
      <w:pPr>
        <w:pStyle w:val="ListParagraph"/>
        <w:numPr>
          <w:ilvl w:val="0"/>
          <w:numId w:val="2"/>
        </w:numPr>
        <w:spacing w:before="60" w:after="60"/>
      </w:pPr>
      <w:r>
        <w:rPr>
          <w:rFonts w:ascii="Calibri" w:cs="Calibri" w:eastAsia="Calibri" w:hAnsi="Calibri"/>
          <w:sz w:val="22"/>
          <w:szCs w:val="22"/>
        </w:rPr>
        <w:t xml:space="preserve">Hastie, T., Tibshirani, R., &amp; Friedman, J. (2009). The Elements of Statistical Learning. Springer.</w:t>
      </w:r>
    </w:p>
    <w:p>
      <w:pPr>
        <w:spacing w:before="60"/>
      </w:pPr>
      <w:r>
        <w:t xml:space="preserve"/>
      </w:r>
    </w:p>
    <w:p>
      <w:pPr>
        <w:spacing w:before="60" w:after="60"/>
        <w:jc w:val="both"/>
      </w:pPr>
      <w:r>
        <w:rPr>
          <w:rFonts w:ascii="Calibri" w:cs="Calibri" w:eastAsia="Calibri" w:hAnsi="Calibri"/>
          <w:sz w:val="22"/>
          <w:szCs w:val="22"/>
        </w:rPr>
        <w:t xml:space="preserve">Documentation en ligne :</w:t>
      </w:r>
    </w:p>
    <w:p>
      <w:pPr>
        <w:pStyle w:val="ListParagraph"/>
        <w:numPr>
          <w:ilvl w:val="0"/>
          <w:numId w:val="2"/>
        </w:numPr>
        <w:spacing w:before="60" w:after="60"/>
      </w:pPr>
      <w:r>
        <w:rPr>
          <w:rFonts w:ascii="Calibri" w:cs="Calibri" w:eastAsia="Calibri" w:hAnsi="Calibri"/>
          <w:sz w:val="22"/>
          <w:szCs w:val="22"/>
        </w:rPr>
        <w:t xml:space="preserve">Documentation officielle Scikit-Learn : https://scikit-learn.org/stable/</w:t>
      </w:r>
    </w:p>
    <w:p>
      <w:pPr>
        <w:pStyle w:val="ListParagraph"/>
        <w:numPr>
          <w:ilvl w:val="0"/>
          <w:numId w:val="2"/>
        </w:numPr>
        <w:spacing w:before="60" w:after="60"/>
      </w:pPr>
      <w:r>
        <w:rPr>
          <w:rFonts w:ascii="Calibri" w:cs="Calibri" w:eastAsia="Calibri" w:hAnsi="Calibri"/>
          <w:sz w:val="22"/>
          <w:szCs w:val="22"/>
        </w:rPr>
        <w:t xml:space="preserve">Documentation Pandas : https://pandas.pydata.org/docs/</w:t>
      </w:r>
    </w:p>
    <w:p>
      <w:pPr>
        <w:pStyle w:val="ListParagraph"/>
        <w:numPr>
          <w:ilvl w:val="0"/>
          <w:numId w:val="2"/>
        </w:numPr>
        <w:spacing w:before="60" w:after="60"/>
      </w:pPr>
      <w:r>
        <w:rPr>
          <w:rFonts w:ascii="Calibri" w:cs="Calibri" w:eastAsia="Calibri" w:hAnsi="Calibri"/>
          <w:sz w:val="22"/>
          <w:szCs w:val="22"/>
        </w:rPr>
        <w:t xml:space="preserve">Bank Al-Maghrib — Rapports annuels sur le risque de crédit : https://www.bkam.ma</w:t>
      </w:r>
    </w:p>
    <w:p>
      <w:pPr>
        <w:spacing w:before="120"/>
      </w:pPr>
      <w:r>
        <w:t xml:space="preserve"/>
      </w:r>
    </w:p>
    <w:p>
      <w:r>
        <w:br w:type="page"/>
      </w:r>
    </w:p>
    <w:p>
      <w:pPr>
        <w:pStyle w:val="Heading1"/>
        <w:spacing w:before="320" w:after="160"/>
      </w:pPr>
      <w:r>
        <w:rPr>
          <w:rFonts w:ascii="Calibri" w:cs="Calibri" w:eastAsia="Calibri" w:hAnsi="Calibri"/>
          <w:b/>
          <w:bCs/>
          <w:color w:val="006633"/>
          <w:sz w:val="28"/>
          <w:szCs w:val="28"/>
        </w:rPr>
        <w:t xml:space="preserve">ANNEXES</w:t>
      </w:r>
    </w:p>
    <w:p>
      <w:pPr>
        <w:pBdr>
          <w:bottom w:val="single" w:color="006633" w:sz="4" w:space="4"/>
        </w:pBdr>
        <w:spacing w:before="120" w:after="120"/>
      </w:pPr>
      <w:r>
        <w:t xml:space="preserve"/>
      </w:r>
    </w:p>
    <w:p>
      <w:pPr>
        <w:pStyle w:val="Heading2"/>
        <w:spacing w:before="200" w:after="100"/>
      </w:pPr>
      <w:r>
        <w:rPr>
          <w:rFonts w:ascii="Calibri" w:cs="Calibri" w:eastAsia="Calibri" w:hAnsi="Calibri"/>
          <w:b/>
          <w:bCs/>
          <w:color w:val="004422"/>
          <w:sz w:val="24"/>
          <w:szCs w:val="24"/>
        </w:rPr>
        <w:t xml:space="preserve">Annexe A — Structure du répertoire de projet</w:t>
      </w:r>
    </w:p>
    <w:p>
      <w:pPr>
        <w:spacing w:before="60" w:after="60"/>
        <w:jc w:val="both"/>
      </w:pPr>
      <w:r>
        <w:rPr>
          <w:rFonts w:ascii="Calibri" w:cs="Calibri" w:eastAsia="Calibri" w:hAnsi="Calibri"/>
          <w:sz w:val="22"/>
          <w:szCs w:val="22"/>
        </w:rPr>
        <w:t xml:space="preserve">L'arborescence du projet est organisée comme suit :</w:t>
      </w:r>
    </w:p>
    <w:p>
      <w:pPr>
        <w:spacing w:before="60"/>
      </w:pPr>
      <w:r>
        <w:t xml:space="preserve"/>
      </w:r>
    </w:p>
    <w:p>
      <w:pPr>
        <w:spacing w:before="60" w:after="30"/>
        <w:ind w:left="360"/>
      </w:pPr>
      <w:r>
        <w:rPr>
          <w:rFonts w:ascii="Courier New" w:cs="Courier New" w:eastAsia="Courier New" w:hAnsi="Courier New"/>
          <w:b/>
          <w:bCs/>
          <w:sz w:val="20"/>
          <w:szCs w:val="20"/>
        </w:rPr>
        <w:t xml:space="preserve">credit_risk_project/</w:t>
      </w:r>
    </w:p>
    <w:p>
      <w:pPr>
        <w:spacing w:before="20" w:after="20"/>
        <w:ind w:left="720"/>
      </w:pPr>
      <w:r>
        <w:rPr>
          <w:rFonts w:ascii="Courier New" w:cs="Courier New" w:eastAsia="Courier New" w:hAnsi="Courier New"/>
          <w:sz w:val="20"/>
          <w:szCs w:val="20"/>
        </w:rPr>
        <w:t xml:space="preserve">├── data/</w:t>
      </w:r>
    </w:p>
    <w:p>
      <w:pPr>
        <w:spacing w:before="20" w:after="20"/>
        <w:ind w:left="720"/>
      </w:pPr>
      <w:r>
        <w:rPr>
          <w:rFonts w:ascii="Courier New" w:cs="Courier New" w:eastAsia="Courier New" w:hAnsi="Courier New"/>
          <w:sz w:val="20"/>
          <w:szCs w:val="20"/>
        </w:rPr>
        <w:t xml:space="preserve">│   └── credit_risk_dataset.xlsx</w:t>
      </w:r>
    </w:p>
    <w:p>
      <w:pPr>
        <w:spacing w:before="20" w:after="20"/>
        <w:ind w:left="720"/>
      </w:pPr>
      <w:r>
        <w:rPr>
          <w:rFonts w:ascii="Courier New" w:cs="Courier New" w:eastAsia="Courier New" w:hAnsi="Courier New"/>
          <w:sz w:val="20"/>
          <w:szCs w:val="20"/>
        </w:rPr>
        <w:t xml:space="preserve">├── src/</w:t>
      </w:r>
    </w:p>
    <w:p>
      <w:pPr>
        <w:spacing w:before="20" w:after="20"/>
        <w:ind w:left="720"/>
      </w:pPr>
      <w:r>
        <w:rPr>
          <w:rFonts w:ascii="Courier New" w:cs="Courier New" w:eastAsia="Courier New" w:hAnsi="Courier New"/>
          <w:sz w:val="20"/>
          <w:szCs w:val="20"/>
        </w:rPr>
        <w:t xml:space="preserve">│   ├── data_loader.py</w:t>
      </w:r>
    </w:p>
    <w:p>
      <w:pPr>
        <w:spacing w:before="20" w:after="20"/>
        <w:ind w:left="720"/>
      </w:pPr>
      <w:r>
        <w:rPr>
          <w:rFonts w:ascii="Courier New" w:cs="Courier New" w:eastAsia="Courier New" w:hAnsi="Courier New"/>
          <w:sz w:val="20"/>
          <w:szCs w:val="20"/>
        </w:rPr>
        <w:t xml:space="preserve">│   ├── preprocessing.py</w:t>
      </w:r>
    </w:p>
    <w:p>
      <w:pPr>
        <w:spacing w:before="20" w:after="20"/>
        <w:ind w:left="720"/>
      </w:pPr>
      <w:r>
        <w:rPr>
          <w:rFonts w:ascii="Courier New" w:cs="Courier New" w:eastAsia="Courier New" w:hAnsi="Courier New"/>
          <w:sz w:val="20"/>
          <w:szCs w:val="20"/>
        </w:rPr>
        <w:t xml:space="preserve">│   ├── models.py</w:t>
      </w:r>
    </w:p>
    <w:p>
      <w:pPr>
        <w:spacing w:before="20" w:after="20"/>
        <w:ind w:left="720"/>
      </w:pPr>
      <w:r>
        <w:rPr>
          <w:rFonts w:ascii="Courier New" w:cs="Courier New" w:eastAsia="Courier New" w:hAnsi="Courier New"/>
          <w:sz w:val="20"/>
          <w:szCs w:val="20"/>
        </w:rPr>
        <w:t xml:space="preserve">│   ├── evaluation.py</w:t>
      </w:r>
    </w:p>
    <w:p>
      <w:pPr>
        <w:spacing w:before="20" w:after="20"/>
        <w:ind w:left="720"/>
      </w:pPr>
      <w:r>
        <w:rPr>
          <w:rFonts w:ascii="Courier New" w:cs="Courier New" w:eastAsia="Courier New" w:hAnsi="Courier New"/>
          <w:sz w:val="20"/>
          <w:szCs w:val="20"/>
        </w:rPr>
        <w:t xml:space="preserve">│   └── main.py</w:t>
      </w:r>
    </w:p>
    <w:p>
      <w:pPr>
        <w:spacing w:before="20" w:after="20"/>
        <w:ind w:left="720"/>
      </w:pPr>
      <w:r>
        <w:rPr>
          <w:rFonts w:ascii="Courier New" w:cs="Courier New" w:eastAsia="Courier New" w:hAnsi="Courier New"/>
          <w:sz w:val="20"/>
          <w:szCs w:val="20"/>
        </w:rPr>
        <w:t xml:space="preserve">├── notebooks/</w:t>
      </w:r>
    </w:p>
    <w:p>
      <w:pPr>
        <w:spacing w:before="20" w:after="20"/>
        <w:ind w:left="720"/>
      </w:pPr>
      <w:r>
        <w:rPr>
          <w:rFonts w:ascii="Courier New" w:cs="Courier New" w:eastAsia="Courier New" w:hAnsi="Courier New"/>
          <w:sz w:val="20"/>
          <w:szCs w:val="20"/>
        </w:rPr>
        <w:t xml:space="preserve">│   └── exploration.ipynb</w:t>
      </w:r>
    </w:p>
    <w:p>
      <w:pPr>
        <w:spacing w:before="20" w:after="20"/>
        <w:ind w:left="720"/>
      </w:pPr>
      <w:r>
        <w:rPr>
          <w:rFonts w:ascii="Courier New" w:cs="Courier New" w:eastAsia="Courier New" w:hAnsi="Courier New"/>
          <w:sz w:val="20"/>
          <w:szCs w:val="20"/>
        </w:rPr>
        <w:t xml:space="preserve">└── README.md</w:t>
      </w:r>
    </w:p>
    <w:p>
      <w:pPr>
        <w:spacing w:before="120"/>
      </w:pPr>
      <w:r>
        <w:t xml:space="preserve"/>
      </w:r>
    </w:p>
    <w:p>
      <w:pPr>
        <w:pStyle w:val="Heading2"/>
        <w:spacing w:before="200" w:after="100"/>
      </w:pPr>
      <w:r>
        <w:rPr>
          <w:rFonts w:ascii="Calibri" w:cs="Calibri" w:eastAsia="Calibri" w:hAnsi="Calibri"/>
          <w:b/>
          <w:bCs/>
          <w:color w:val="004422"/>
          <w:sz w:val="24"/>
          <w:szCs w:val="24"/>
        </w:rPr>
        <w:t xml:space="preserve">Annexe B — Environnement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Technologie / Outil</w:t>
            </w:r>
          </w:p>
        </w:tc>
        <w:tc>
          <w:tcPr>
            <w:tcW w:type="dxa" w:w="5800"/>
            <w:tcBorders>
              <w:top w:val="single" w:color="CCCCCC" w:sz="1"/>
              <w:left w:val="single" w:color="CCCCCC" w:sz="1"/>
              <w:bottom w:val="single" w:color="CCCCCC" w:sz="1"/>
              <w:right w:val="single" w:color="CCCCCC" w:sz="1"/>
            </w:tcBorders>
            <w:shd w:fill="004422" w:val="clear"/>
            <w:tcMar>
              <w:top w:type="dxa" w:w="80"/>
              <w:left w:type="dxa" w:w="120"/>
              <w:bottom w:type="dxa" w:w="80"/>
              <w:right w:type="dxa" w:w="120"/>
            </w:tcMar>
          </w:tcPr>
          <w:p>
            <w:pPr>
              <w:jc w:val="left"/>
            </w:pPr>
            <w:r>
              <w:rPr>
                <w:rFonts w:ascii="Calibri" w:cs="Calibri" w:eastAsia="Calibri" w:hAnsi="Calibri"/>
                <w:color w:val="FFFFFF"/>
                <w:sz w:val="20"/>
                <w:szCs w:val="20"/>
              </w:rPr>
              <w:t xml:space="preserve">Version utilisée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Python</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3.10+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Scikit-Learn</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1.3.x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Pandas</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2.0.x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NumPy</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1.24.x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Matplotlib / Seaborn</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3.7.x / 0.12.x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Environnement</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color w:val="000000"/>
                <w:sz w:val="20"/>
                <w:szCs w:val="20"/>
              </w:rPr>
              <w:t xml:space="preserve">Jupyter Notebook / VS Code</w:t>
            </w:r>
          </w:p>
        </w:tc>
      </w:tr>
    </w:tbl>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4" w:space="4"/>
      </w:pBdr>
      <w:jc w:val="center"/>
    </w:pPr>
    <w:r>
      <w:rPr>
        <w:rFonts w:ascii="Calibri" w:cs="Calibri" w:eastAsia="Calibri" w:hAnsi="Calibri"/>
        <w:color w:val="888888"/>
        <w:sz w:val="18"/>
        <w:szCs w:val="18"/>
      </w:rPr>
      <w:t xml:space="preserve">Compte Rendu de Projet — ENCG Settat | L3 S8 | 2024–2025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006633"/>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2026-03-18T02:52:39.427Z</dcterms:created>
  <dcterms:modified xsi:type="dcterms:W3CDTF">2026-03-18T02:52:39.428Z</dcterms:modified>
</cp:coreProperties>
</file>

<file path=docProps/custom.xml><?xml version="1.0" encoding="utf-8"?>
<Properties xmlns="http://schemas.openxmlformats.org/officeDocument/2006/custom-properties" xmlns:vt="http://schemas.openxmlformats.org/officeDocument/2006/docPropsVTypes"/>
</file>