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A0D41" w14:textId="77777777" w:rsidR="0070149D" w:rsidRPr="0070149D" w:rsidRDefault="0070149D" w:rsidP="0070149D">
      <w:pPr>
        <w:rPr>
          <w:rFonts w:ascii="Times New Roman" w:hAnsi="Times New Roman" w:cs="Times New Roman"/>
          <w:b/>
          <w:bCs/>
          <w:sz w:val="28"/>
          <w:szCs w:val="28"/>
        </w:rPr>
      </w:pPr>
      <w:r w:rsidRPr="0070149D">
        <w:rPr>
          <w:rFonts w:ascii="Times New Roman" w:hAnsi="Times New Roman" w:cs="Times New Roman"/>
          <w:b/>
          <w:bCs/>
          <w:sz w:val="28"/>
          <w:szCs w:val="28"/>
        </w:rPr>
        <w:t>Что такое ансамблевые методы?</w:t>
      </w:r>
    </w:p>
    <w:p w14:paraId="138B3CAD"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b/>
          <w:bCs/>
          <w:i/>
          <w:iCs/>
          <w:sz w:val="28"/>
          <w:szCs w:val="28"/>
        </w:rPr>
        <w:t>Ансамблевые методы</w:t>
      </w:r>
      <w:r w:rsidRPr="0070149D">
        <w:rPr>
          <w:rFonts w:ascii="Times New Roman" w:hAnsi="Times New Roman" w:cs="Times New Roman"/>
          <w:sz w:val="28"/>
          <w:szCs w:val="28"/>
        </w:rPr>
        <w:t>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5FA365F4"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Один слабый ученик</w:t>
      </w:r>
    </w:p>
    <w:p w14:paraId="1A8B28D2"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В машинном обучении, независимо от того, сталкиваемся ли мы с проблемой классификации или регрессии, выбор модели чрезвычайно важен, чтобы иметь какие-либо шансы получить хорошие результаты. Этот выбор может зависеть от многих переменных задачи: количества данных, размерности пространства, гипотезы распределения…</w:t>
      </w:r>
    </w:p>
    <w:p w14:paraId="67A9B855"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Слабое </w:t>
      </w:r>
      <w:r w:rsidRPr="0070149D">
        <w:rPr>
          <w:rFonts w:ascii="Times New Roman" w:hAnsi="Times New Roman" w:cs="Times New Roman"/>
          <w:b/>
          <w:bCs/>
          <w:i/>
          <w:iCs/>
          <w:sz w:val="28"/>
          <w:szCs w:val="28"/>
        </w:rPr>
        <w:t>смещение (</w:t>
      </w:r>
      <w:proofErr w:type="spellStart"/>
      <w:r w:rsidRPr="0070149D">
        <w:rPr>
          <w:rFonts w:ascii="Times New Roman" w:hAnsi="Times New Roman" w:cs="Times New Roman"/>
          <w:b/>
          <w:bCs/>
          <w:i/>
          <w:iCs/>
          <w:sz w:val="28"/>
          <w:szCs w:val="28"/>
        </w:rPr>
        <w:t>bias</w:t>
      </w:r>
      <w:proofErr w:type="spellEnd"/>
      <w:r w:rsidRPr="0070149D">
        <w:rPr>
          <w:rFonts w:ascii="Times New Roman" w:hAnsi="Times New Roman" w:cs="Times New Roman"/>
          <w:b/>
          <w:bCs/>
          <w:i/>
          <w:iCs/>
          <w:sz w:val="28"/>
          <w:szCs w:val="28"/>
        </w:rPr>
        <w:t>)</w:t>
      </w:r>
      <w:r w:rsidRPr="0070149D">
        <w:rPr>
          <w:rFonts w:ascii="Times New Roman" w:hAnsi="Times New Roman" w:cs="Times New Roman"/>
          <w:sz w:val="28"/>
          <w:szCs w:val="28"/>
        </w:rPr>
        <w:t> и </w:t>
      </w:r>
      <w:r w:rsidRPr="0070149D">
        <w:rPr>
          <w:rFonts w:ascii="Times New Roman" w:hAnsi="Times New Roman" w:cs="Times New Roman"/>
          <w:b/>
          <w:bCs/>
          <w:i/>
          <w:iCs/>
          <w:sz w:val="28"/>
          <w:szCs w:val="28"/>
        </w:rPr>
        <w:t>разброс (</w:t>
      </w:r>
      <w:proofErr w:type="spellStart"/>
      <w:r w:rsidRPr="0070149D">
        <w:rPr>
          <w:rFonts w:ascii="Times New Roman" w:hAnsi="Times New Roman" w:cs="Times New Roman"/>
          <w:b/>
          <w:bCs/>
          <w:i/>
          <w:iCs/>
          <w:sz w:val="28"/>
          <w:szCs w:val="28"/>
        </w:rPr>
        <w:t>variance</w:t>
      </w:r>
      <w:proofErr w:type="spellEnd"/>
      <w:r w:rsidRPr="0070149D">
        <w:rPr>
          <w:rFonts w:ascii="Times New Roman" w:hAnsi="Times New Roman" w:cs="Times New Roman"/>
          <w:b/>
          <w:bCs/>
          <w:i/>
          <w:iCs/>
          <w:sz w:val="28"/>
          <w:szCs w:val="28"/>
        </w:rPr>
        <w:t>)</w:t>
      </w:r>
      <w:r w:rsidRPr="0070149D">
        <w:rPr>
          <w:rFonts w:ascii="Times New Roman" w:hAnsi="Times New Roman" w:cs="Times New Roman"/>
          <w:sz w:val="28"/>
          <w:szCs w:val="28"/>
        </w:rPr>
        <w:t> модели, хотя они чаще всего изменяются в противоположных направлениях, являются двумя наиболее фундаментальными особенностями, ожидаемыми для модели. Действительно, чтобы иметь возможность «решить» проблему, мы хотим, чтобы в нашей модели было достаточно степеней свободы для разрешения базовой сложности данных, с которыми мы работаем, но мы также хотим, чтобы у нее было не слишком много степеней свободы, чтобы избежать ее высокого разброса и быть более устойчивой. Это хорошо известный </w:t>
      </w:r>
      <w:r w:rsidRPr="0070149D">
        <w:rPr>
          <w:rFonts w:ascii="Times New Roman" w:hAnsi="Times New Roman" w:cs="Times New Roman"/>
          <w:b/>
          <w:bCs/>
          <w:sz w:val="28"/>
          <w:szCs w:val="28"/>
        </w:rPr>
        <w:t>компромисс между смещением и разбросом</w:t>
      </w:r>
      <w:r w:rsidRPr="0070149D">
        <w:rPr>
          <w:rFonts w:ascii="Times New Roman" w:hAnsi="Times New Roman" w:cs="Times New Roman"/>
          <w:sz w:val="28"/>
          <w:szCs w:val="28"/>
        </w:rPr>
        <w:t>.</w:t>
      </w:r>
    </w:p>
    <w:p w14:paraId="75118FFC" w14:textId="3B41092E"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306EF251" wp14:editId="6EBBF208">
            <wp:extent cx="6120130" cy="3870960"/>
            <wp:effectExtent l="0" t="0" r="0" b="0"/>
            <wp:docPr id="9" name="Рисунок 9" descr="Иллюстрация компромисса между смещением и разброс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ллюстрация компромисса между смещением и разбросо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870960"/>
                    </a:xfrm>
                    <a:prstGeom prst="rect">
                      <a:avLst/>
                    </a:prstGeom>
                    <a:noFill/>
                    <a:ln>
                      <a:noFill/>
                    </a:ln>
                  </pic:spPr>
                </pic:pic>
              </a:graphicData>
            </a:graphic>
          </wp:inline>
        </w:drawing>
      </w:r>
    </w:p>
    <w:p w14:paraId="3DCDA118"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lastRenderedPageBreak/>
        <w:t>Иллюстрация компромисса между смещением и разбросом</w:t>
      </w:r>
    </w:p>
    <w:p w14:paraId="14A9FAF3"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w:t>
      </w:r>
    </w:p>
    <w:p w14:paraId="580CFEF6"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В ансамблевой теории обучения мы вводим понятия </w:t>
      </w:r>
      <w:r w:rsidRPr="0070149D">
        <w:rPr>
          <w:rFonts w:ascii="Times New Roman" w:hAnsi="Times New Roman" w:cs="Times New Roman"/>
          <w:b/>
          <w:bCs/>
          <w:i/>
          <w:iCs/>
          <w:sz w:val="28"/>
          <w:szCs w:val="28"/>
        </w:rPr>
        <w:t>слабых учеников</w:t>
      </w:r>
      <w:r w:rsidRPr="0070149D">
        <w:rPr>
          <w:rFonts w:ascii="Times New Roman" w:hAnsi="Times New Roman" w:cs="Times New Roman"/>
          <w:sz w:val="28"/>
          <w:szCs w:val="28"/>
        </w:rPr>
        <w:t> (или </w:t>
      </w:r>
      <w:r w:rsidRPr="0070149D">
        <w:rPr>
          <w:rFonts w:ascii="Times New Roman" w:hAnsi="Times New Roman" w:cs="Times New Roman"/>
          <w:b/>
          <w:bCs/>
          <w:i/>
          <w:iCs/>
          <w:sz w:val="28"/>
          <w:szCs w:val="28"/>
        </w:rPr>
        <w:t>базовых моделей</w:t>
      </w:r>
      <w:r w:rsidRPr="0070149D">
        <w:rPr>
          <w:rFonts w:ascii="Times New Roman" w:hAnsi="Times New Roman" w:cs="Times New Roman"/>
          <w:sz w:val="28"/>
          <w:szCs w:val="28"/>
        </w:rPr>
        <w:t>), которых можно использовать в качестве строительных блоков для проектирования более сложных моделей путем объединения нескольких из них. В большинстве случаев эти базовые модели работают сами по себе не так хорошо в связи с тем, что они имеют высокое смещение (например, модели с низкой степенью свободы), либо с тем, что имеют слишком большой разброс, чтобы быть устойчивыми (например, модели с высокой степенью свободы). Тогда идея ансамблевых методов состоит в том, чтобы попытаться уменьшить смещение и/или разброс таких слабых учеников, объединяя несколько из них вместе, чтобы создать </w:t>
      </w:r>
      <w:r w:rsidRPr="0070149D">
        <w:rPr>
          <w:rFonts w:ascii="Times New Roman" w:hAnsi="Times New Roman" w:cs="Times New Roman"/>
          <w:b/>
          <w:bCs/>
          <w:i/>
          <w:iCs/>
          <w:sz w:val="28"/>
          <w:szCs w:val="28"/>
        </w:rPr>
        <w:t>сильного ученика</w:t>
      </w:r>
      <w:r w:rsidRPr="0070149D">
        <w:rPr>
          <w:rFonts w:ascii="Times New Roman" w:hAnsi="Times New Roman" w:cs="Times New Roman"/>
          <w:sz w:val="28"/>
          <w:szCs w:val="28"/>
        </w:rPr>
        <w:t> (или </w:t>
      </w:r>
      <w:r w:rsidRPr="0070149D">
        <w:rPr>
          <w:rFonts w:ascii="Times New Roman" w:hAnsi="Times New Roman" w:cs="Times New Roman"/>
          <w:b/>
          <w:bCs/>
          <w:i/>
          <w:iCs/>
          <w:sz w:val="28"/>
          <w:szCs w:val="28"/>
        </w:rPr>
        <w:t>модель ансамбля</w:t>
      </w:r>
      <w:r w:rsidRPr="0070149D">
        <w:rPr>
          <w:rFonts w:ascii="Times New Roman" w:hAnsi="Times New Roman" w:cs="Times New Roman"/>
          <w:sz w:val="28"/>
          <w:szCs w:val="28"/>
        </w:rPr>
        <w:t>), который достигает лучших результатов.</w:t>
      </w:r>
    </w:p>
    <w:p w14:paraId="059E1689"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Объединение слабых учеников</w:t>
      </w:r>
    </w:p>
    <w:p w14:paraId="1CD34037"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Чтобы реализовать ансамблевый метод, нам сначала нужно отобрать наших слабых учеников для агрегирования. В основном (в том числе в хорошо известных методах </w:t>
      </w:r>
      <w:proofErr w:type="spellStart"/>
      <w:r w:rsidRPr="0070149D">
        <w:rPr>
          <w:rFonts w:ascii="Times New Roman" w:hAnsi="Times New Roman" w:cs="Times New Roman"/>
          <w:sz w:val="28"/>
          <w:szCs w:val="28"/>
        </w:rPr>
        <w:t>бэггинга</w:t>
      </w:r>
      <w:proofErr w:type="spellEnd"/>
      <w:r w:rsidRPr="0070149D">
        <w:rPr>
          <w:rFonts w:ascii="Times New Roman" w:hAnsi="Times New Roman" w:cs="Times New Roman"/>
          <w:sz w:val="28"/>
          <w:szCs w:val="28"/>
        </w:rPr>
        <w:t xml:space="preserve"> и </w:t>
      </w:r>
      <w:proofErr w:type="spellStart"/>
      <w:r w:rsidRPr="0070149D">
        <w:rPr>
          <w:rFonts w:ascii="Times New Roman" w:hAnsi="Times New Roman" w:cs="Times New Roman"/>
          <w:sz w:val="28"/>
          <w:szCs w:val="28"/>
        </w:rPr>
        <w:t>бустинга</w:t>
      </w:r>
      <w:proofErr w:type="spellEnd"/>
      <w:r w:rsidRPr="0070149D">
        <w:rPr>
          <w:rFonts w:ascii="Times New Roman" w:hAnsi="Times New Roman" w:cs="Times New Roman"/>
          <w:sz w:val="28"/>
          <w:szCs w:val="28"/>
        </w:rPr>
        <w:t>) используется единственный базовый алгоритм обучения, так что у нас есть однородные слабые ученики, которые обучаются по-разному. Получаемая нами модель ансамбля называется «</w:t>
      </w:r>
      <w:r w:rsidRPr="0070149D">
        <w:rPr>
          <w:rFonts w:ascii="Times New Roman" w:hAnsi="Times New Roman" w:cs="Times New Roman"/>
          <w:b/>
          <w:bCs/>
          <w:i/>
          <w:iCs/>
          <w:sz w:val="28"/>
          <w:szCs w:val="28"/>
        </w:rPr>
        <w:t>однородной</w:t>
      </w:r>
      <w:r w:rsidRPr="0070149D">
        <w:rPr>
          <w:rFonts w:ascii="Times New Roman" w:hAnsi="Times New Roman" w:cs="Times New Roman"/>
          <w:sz w:val="28"/>
          <w:szCs w:val="28"/>
        </w:rPr>
        <w:t>». Тем не менее, существуют также некоторые методы, которые используют различные типы базовых алгоритмов обучения: некоторые </w:t>
      </w:r>
      <w:r w:rsidRPr="0070149D">
        <w:rPr>
          <w:rFonts w:ascii="Times New Roman" w:hAnsi="Times New Roman" w:cs="Times New Roman"/>
          <w:b/>
          <w:bCs/>
          <w:i/>
          <w:iCs/>
          <w:sz w:val="28"/>
          <w:szCs w:val="28"/>
        </w:rPr>
        <w:t>разнородные слабые ученики</w:t>
      </w:r>
      <w:r w:rsidRPr="0070149D">
        <w:rPr>
          <w:rFonts w:ascii="Times New Roman" w:hAnsi="Times New Roman" w:cs="Times New Roman"/>
          <w:sz w:val="28"/>
          <w:szCs w:val="28"/>
        </w:rPr>
        <w:t> затем объединяются в </w:t>
      </w:r>
      <w:r w:rsidRPr="0070149D">
        <w:rPr>
          <w:rFonts w:ascii="Times New Roman" w:hAnsi="Times New Roman" w:cs="Times New Roman"/>
          <w:b/>
          <w:bCs/>
          <w:sz w:val="28"/>
          <w:szCs w:val="28"/>
        </w:rPr>
        <w:t>«</w:t>
      </w:r>
      <w:r w:rsidRPr="0070149D">
        <w:rPr>
          <w:rFonts w:ascii="Times New Roman" w:hAnsi="Times New Roman" w:cs="Times New Roman"/>
          <w:b/>
          <w:bCs/>
          <w:i/>
          <w:iCs/>
          <w:sz w:val="28"/>
          <w:szCs w:val="28"/>
        </w:rPr>
        <w:t>разнородную ансамблевую модель</w:t>
      </w:r>
      <w:r w:rsidRPr="0070149D">
        <w:rPr>
          <w:rFonts w:ascii="Times New Roman" w:hAnsi="Times New Roman" w:cs="Times New Roman"/>
          <w:b/>
          <w:bCs/>
          <w:sz w:val="28"/>
          <w:szCs w:val="28"/>
        </w:rPr>
        <w:t>»</w:t>
      </w:r>
      <w:r w:rsidRPr="0070149D">
        <w:rPr>
          <w:rFonts w:ascii="Times New Roman" w:hAnsi="Times New Roman" w:cs="Times New Roman"/>
          <w:sz w:val="28"/>
          <w:szCs w:val="28"/>
        </w:rPr>
        <w:t>.</w:t>
      </w:r>
    </w:p>
    <w:p w14:paraId="40ACB4D7" w14:textId="77777777" w:rsidR="0070149D" w:rsidRPr="0070149D" w:rsidRDefault="0070149D" w:rsidP="0070149D">
      <w:pPr>
        <w:numPr>
          <w:ilvl w:val="0"/>
          <w:numId w:val="1"/>
        </w:numPr>
        <w:rPr>
          <w:rFonts w:ascii="Times New Roman" w:hAnsi="Times New Roman" w:cs="Times New Roman"/>
          <w:sz w:val="28"/>
          <w:szCs w:val="28"/>
        </w:rPr>
      </w:pPr>
      <w:proofErr w:type="spellStart"/>
      <w:r w:rsidRPr="0070149D">
        <w:rPr>
          <w:rFonts w:ascii="Times New Roman" w:hAnsi="Times New Roman" w:cs="Times New Roman"/>
          <w:b/>
          <w:bCs/>
          <w:sz w:val="28"/>
          <w:szCs w:val="28"/>
        </w:rPr>
        <w:t>Бэггинг</w:t>
      </w:r>
      <w:proofErr w:type="spellEnd"/>
      <w:r w:rsidRPr="0070149D">
        <w:rPr>
          <w:rFonts w:ascii="Times New Roman" w:hAnsi="Times New Roman" w:cs="Times New Roman"/>
          <w:b/>
          <w:bCs/>
          <w:sz w:val="28"/>
          <w:szCs w:val="28"/>
        </w:rPr>
        <w:t>. </w:t>
      </w:r>
      <w:r w:rsidRPr="0070149D">
        <w:rPr>
          <w:rFonts w:ascii="Times New Roman" w:hAnsi="Times New Roman" w:cs="Times New Roman"/>
          <w:sz w:val="28"/>
          <w:szCs w:val="28"/>
        </w:rPr>
        <w:t>В этом случае часто рассматривают однородных слабых учеников, обучают их параллельно и независимо друг от друга, а затем объединяют их, следуя некоторому детерминированному процессу усреднения.</w:t>
      </w:r>
    </w:p>
    <w:p w14:paraId="1436791D"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Слабых учеников можно объединить, чтобы получить модель с лучшими показателями. Способ объединения базовых моделей должен быть адаптирован к их типам. Модели с низким смещением и высоким разбросом следует объединять таким образом, чтобы сделать сильную модель более устойчивой, тогда как модели с низким разбросом и высоким смещением лучше объединять таким образом, чтобы сделать ансамблевую модель менее смещенной.</w:t>
      </w:r>
    </w:p>
    <w:p w14:paraId="08D101D7" w14:textId="77777777" w:rsidR="0070149D" w:rsidRPr="0070149D" w:rsidRDefault="0070149D" w:rsidP="0070149D">
      <w:pPr>
        <w:rPr>
          <w:rFonts w:ascii="Times New Roman" w:hAnsi="Times New Roman" w:cs="Times New Roman"/>
          <w:b/>
          <w:bCs/>
          <w:sz w:val="28"/>
          <w:szCs w:val="28"/>
        </w:rPr>
      </w:pPr>
      <w:r w:rsidRPr="0070149D">
        <w:rPr>
          <w:rFonts w:ascii="Times New Roman" w:hAnsi="Times New Roman" w:cs="Times New Roman"/>
          <w:b/>
          <w:bCs/>
          <w:sz w:val="28"/>
          <w:szCs w:val="28"/>
        </w:rPr>
        <w:t xml:space="preserve">Сфокусируем внимание на </w:t>
      </w:r>
      <w:proofErr w:type="spellStart"/>
      <w:r w:rsidRPr="0070149D">
        <w:rPr>
          <w:rFonts w:ascii="Times New Roman" w:hAnsi="Times New Roman" w:cs="Times New Roman"/>
          <w:b/>
          <w:bCs/>
          <w:sz w:val="28"/>
          <w:szCs w:val="28"/>
        </w:rPr>
        <w:t>бэггинге</w:t>
      </w:r>
      <w:proofErr w:type="spellEnd"/>
    </w:p>
    <w:p w14:paraId="55404057"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В </w:t>
      </w:r>
      <w:r w:rsidRPr="0070149D">
        <w:rPr>
          <w:rFonts w:ascii="Times New Roman" w:hAnsi="Times New Roman" w:cs="Times New Roman"/>
          <w:b/>
          <w:bCs/>
          <w:i/>
          <w:iCs/>
          <w:sz w:val="28"/>
          <w:szCs w:val="28"/>
        </w:rPr>
        <w:t>параллельных методах</w:t>
      </w:r>
      <w:r w:rsidRPr="0070149D">
        <w:rPr>
          <w:rFonts w:ascii="Times New Roman" w:hAnsi="Times New Roman" w:cs="Times New Roman"/>
          <w:sz w:val="28"/>
          <w:szCs w:val="28"/>
        </w:rPr>
        <w:t xml:space="preserve"> мы рассматриваем разных учеников независимо друг от друга </w:t>
      </w:r>
      <w:proofErr w:type="spellStart"/>
      <w:r w:rsidRPr="0070149D">
        <w:rPr>
          <w:rFonts w:ascii="Times New Roman" w:hAnsi="Times New Roman" w:cs="Times New Roman"/>
          <w:sz w:val="28"/>
          <w:szCs w:val="28"/>
        </w:rPr>
        <w:t>друга</w:t>
      </w:r>
      <w:proofErr w:type="spellEnd"/>
      <w:r w:rsidRPr="0070149D">
        <w:rPr>
          <w:rFonts w:ascii="Times New Roman" w:hAnsi="Times New Roman" w:cs="Times New Roman"/>
          <w:sz w:val="28"/>
          <w:szCs w:val="28"/>
        </w:rPr>
        <w:t xml:space="preserve"> и, таким образом, можно обучать их одновременно. Наиболее известным из таких подходом является «</w:t>
      </w:r>
      <w:proofErr w:type="spellStart"/>
      <w:r w:rsidRPr="0070149D">
        <w:rPr>
          <w:rFonts w:ascii="Times New Roman" w:hAnsi="Times New Roman" w:cs="Times New Roman"/>
          <w:b/>
          <w:bCs/>
          <w:i/>
          <w:iCs/>
          <w:sz w:val="28"/>
          <w:szCs w:val="28"/>
        </w:rPr>
        <w:t>бэггинг</w:t>
      </w:r>
      <w:proofErr w:type="spellEnd"/>
      <w:r w:rsidRPr="0070149D">
        <w:rPr>
          <w:rFonts w:ascii="Times New Roman" w:hAnsi="Times New Roman" w:cs="Times New Roman"/>
          <w:sz w:val="28"/>
          <w:szCs w:val="28"/>
        </w:rPr>
        <w:t>» (от «</w:t>
      </w:r>
      <w:proofErr w:type="spellStart"/>
      <w:r w:rsidRPr="0070149D">
        <w:rPr>
          <w:rFonts w:ascii="Times New Roman" w:hAnsi="Times New Roman" w:cs="Times New Roman"/>
          <w:i/>
          <w:iCs/>
          <w:sz w:val="28"/>
          <w:szCs w:val="28"/>
        </w:rPr>
        <w:t>bootstrap</w:t>
      </w:r>
      <w:proofErr w:type="spellEnd"/>
      <w:r w:rsidRPr="0070149D">
        <w:rPr>
          <w:rFonts w:ascii="Times New Roman" w:hAnsi="Times New Roman" w:cs="Times New Roman"/>
          <w:i/>
          <w:iCs/>
          <w:sz w:val="28"/>
          <w:szCs w:val="28"/>
        </w:rPr>
        <w:t xml:space="preserve"> </w:t>
      </w:r>
      <w:proofErr w:type="spellStart"/>
      <w:r w:rsidRPr="0070149D">
        <w:rPr>
          <w:rFonts w:ascii="Times New Roman" w:hAnsi="Times New Roman" w:cs="Times New Roman"/>
          <w:i/>
          <w:iCs/>
          <w:sz w:val="28"/>
          <w:szCs w:val="28"/>
        </w:rPr>
        <w:t>aggregation</w:t>
      </w:r>
      <w:proofErr w:type="spellEnd"/>
      <w:r w:rsidRPr="0070149D">
        <w:rPr>
          <w:rFonts w:ascii="Times New Roman" w:hAnsi="Times New Roman" w:cs="Times New Roman"/>
          <w:sz w:val="28"/>
          <w:szCs w:val="28"/>
        </w:rPr>
        <w:t xml:space="preserve">»), </w:t>
      </w:r>
      <w:r w:rsidRPr="0070149D">
        <w:rPr>
          <w:rFonts w:ascii="Times New Roman" w:hAnsi="Times New Roman" w:cs="Times New Roman"/>
          <w:sz w:val="28"/>
          <w:szCs w:val="28"/>
        </w:rPr>
        <w:lastRenderedPageBreak/>
        <w:t>целью которого является создание ансамблевой модели, которая является </w:t>
      </w:r>
      <w:r w:rsidRPr="0070149D">
        <w:rPr>
          <w:rFonts w:ascii="Times New Roman" w:hAnsi="Times New Roman" w:cs="Times New Roman"/>
          <w:b/>
          <w:bCs/>
          <w:sz w:val="28"/>
          <w:szCs w:val="28"/>
        </w:rPr>
        <w:t>более надежной,</w:t>
      </w:r>
      <w:r w:rsidRPr="0070149D">
        <w:rPr>
          <w:rFonts w:ascii="Times New Roman" w:hAnsi="Times New Roman" w:cs="Times New Roman"/>
          <w:sz w:val="28"/>
          <w:szCs w:val="28"/>
        </w:rPr>
        <w:t> чем отдельные модели, ее составляющие.</w:t>
      </w:r>
    </w:p>
    <w:p w14:paraId="1CF11C07" w14:textId="77777777" w:rsidR="0070149D" w:rsidRPr="0070149D" w:rsidRDefault="0070149D" w:rsidP="0070149D">
      <w:pPr>
        <w:rPr>
          <w:rFonts w:ascii="Times New Roman" w:hAnsi="Times New Roman" w:cs="Times New Roman"/>
          <w:sz w:val="28"/>
          <w:szCs w:val="28"/>
        </w:rPr>
      </w:pPr>
      <w:proofErr w:type="spellStart"/>
      <w:r w:rsidRPr="0070149D">
        <w:rPr>
          <w:rFonts w:ascii="Times New Roman" w:hAnsi="Times New Roman" w:cs="Times New Roman"/>
          <w:sz w:val="28"/>
          <w:szCs w:val="28"/>
        </w:rPr>
        <w:t>Бутстрэп</w:t>
      </w:r>
      <w:proofErr w:type="spellEnd"/>
    </w:p>
    <w:p w14:paraId="68CD0AE3"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Давайте начнем с определения </w:t>
      </w:r>
      <w:proofErr w:type="spellStart"/>
      <w:r w:rsidRPr="0070149D">
        <w:rPr>
          <w:rFonts w:ascii="Times New Roman" w:hAnsi="Times New Roman" w:cs="Times New Roman"/>
          <w:sz w:val="28"/>
          <w:szCs w:val="28"/>
        </w:rPr>
        <w:t>бутстрэпа</w:t>
      </w:r>
      <w:proofErr w:type="spellEnd"/>
      <w:r w:rsidRPr="0070149D">
        <w:rPr>
          <w:rFonts w:ascii="Times New Roman" w:hAnsi="Times New Roman" w:cs="Times New Roman"/>
          <w:sz w:val="28"/>
          <w:szCs w:val="28"/>
        </w:rPr>
        <w:t xml:space="preserve">. Этот статистический метод заключается в генерации выборок размера B (так называемых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из исходного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размера N путем случайного выбора элементов с повторениями в каждом из наблюдений B.</w:t>
      </w:r>
    </w:p>
    <w:p w14:paraId="1D279835" w14:textId="11346ED5"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268A6CDC" wp14:editId="2D78DFF4">
            <wp:extent cx="6120130" cy="2813685"/>
            <wp:effectExtent l="0" t="0" r="0" b="5715"/>
            <wp:docPr id="7" name="Рисунок 7" descr="Иллюстрация процесса бустрэ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ллюстрация процесса бустрэп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813685"/>
                    </a:xfrm>
                    <a:prstGeom prst="rect">
                      <a:avLst/>
                    </a:prstGeom>
                    <a:noFill/>
                    <a:ln>
                      <a:noFill/>
                    </a:ln>
                  </pic:spPr>
                </pic:pic>
              </a:graphicData>
            </a:graphic>
          </wp:inline>
        </w:drawing>
      </w:r>
    </w:p>
    <w:p w14:paraId="1306F8C2"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Иллюстрация процесса </w:t>
      </w:r>
      <w:proofErr w:type="spellStart"/>
      <w:r w:rsidRPr="0070149D">
        <w:rPr>
          <w:rFonts w:ascii="Times New Roman" w:hAnsi="Times New Roman" w:cs="Times New Roman"/>
          <w:sz w:val="28"/>
          <w:szCs w:val="28"/>
        </w:rPr>
        <w:t>бустрэпа</w:t>
      </w:r>
      <w:proofErr w:type="spellEnd"/>
    </w:p>
    <w:p w14:paraId="0D81D33E"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При некоторых допущениях эти выборки имеют довольно хорошие статистические свойства: в первом приближении их можно рассматривать как взятые непосредственно из истинного базового (и часто неизвестного) распределения данных, так и независимо друг от друга. Таким образом, их можно рассматривать как репрезентативные и независимые выборки истинного распределения данных (почти идентичные выборки). Гипотеза, которая должна быть проверена, чтобы сделать это приближение действительным, имеет две стороны. Во-первых, размер N исходного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должен быть достаточно большим, чтобы охватить большую часть сложности базового распределения, чтобы выборка из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была хорошим приближением к выборке из реального распределения </w:t>
      </w:r>
      <w:r w:rsidRPr="0070149D">
        <w:rPr>
          <w:rFonts w:ascii="Times New Roman" w:hAnsi="Times New Roman" w:cs="Times New Roman"/>
          <w:b/>
          <w:bCs/>
          <w:sz w:val="28"/>
          <w:szCs w:val="28"/>
        </w:rPr>
        <w:t>(репрезентативность)</w:t>
      </w:r>
      <w:r w:rsidRPr="0070149D">
        <w:rPr>
          <w:rFonts w:ascii="Times New Roman" w:hAnsi="Times New Roman" w:cs="Times New Roman"/>
          <w:sz w:val="28"/>
          <w:szCs w:val="28"/>
        </w:rPr>
        <w:t xml:space="preserve">. Во-вторых, размер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N должен быть достаточно большим по сравнению с размером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B, чтобы выборки не слишком сильно коррелировали </w:t>
      </w:r>
      <w:r w:rsidRPr="0070149D">
        <w:rPr>
          <w:rFonts w:ascii="Times New Roman" w:hAnsi="Times New Roman" w:cs="Times New Roman"/>
          <w:b/>
          <w:bCs/>
          <w:sz w:val="28"/>
          <w:szCs w:val="28"/>
        </w:rPr>
        <w:t>(независимость)</w:t>
      </w:r>
      <w:r w:rsidRPr="0070149D">
        <w:rPr>
          <w:rFonts w:ascii="Times New Roman" w:hAnsi="Times New Roman" w:cs="Times New Roman"/>
          <w:sz w:val="28"/>
          <w:szCs w:val="28"/>
        </w:rPr>
        <w:t xml:space="preserve">. Обратите внимание, что в дальнейшем мы иногда будем ссылаться на эти свойства (репрезентативность и независимость)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читатель всегда должен помнить, что </w:t>
      </w:r>
      <w:r w:rsidRPr="0070149D">
        <w:rPr>
          <w:rFonts w:ascii="Times New Roman" w:hAnsi="Times New Roman" w:cs="Times New Roman"/>
          <w:b/>
          <w:bCs/>
          <w:sz w:val="28"/>
          <w:szCs w:val="28"/>
        </w:rPr>
        <w:t>это только приближение</w:t>
      </w:r>
      <w:r w:rsidRPr="0070149D">
        <w:rPr>
          <w:rFonts w:ascii="Times New Roman" w:hAnsi="Times New Roman" w:cs="Times New Roman"/>
          <w:sz w:val="28"/>
          <w:szCs w:val="28"/>
        </w:rPr>
        <w:t>.</w:t>
      </w:r>
    </w:p>
    <w:p w14:paraId="48919DCE" w14:textId="30BF1029" w:rsidR="0070149D" w:rsidRPr="0070149D" w:rsidRDefault="0070149D" w:rsidP="0070149D">
      <w:pPr>
        <w:rPr>
          <w:rFonts w:ascii="Times New Roman" w:hAnsi="Times New Roman" w:cs="Times New Roman"/>
          <w:sz w:val="28"/>
          <w:szCs w:val="28"/>
        </w:rPr>
      </w:pP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выборки часто используются, например, для оценки разброса или доверительных интервалов статистических оценок. По определению </w:t>
      </w:r>
      <w:r w:rsidRPr="0070149D">
        <w:rPr>
          <w:rFonts w:ascii="Times New Roman" w:hAnsi="Times New Roman" w:cs="Times New Roman"/>
          <w:sz w:val="28"/>
          <w:szCs w:val="28"/>
        </w:rPr>
        <w:lastRenderedPageBreak/>
        <w:t xml:space="preserve">статистическая оценка является функцией некоторых наблюдений и, следовательно, случайной величины с разбросом, полученным из этих наблюдений. Чтобы оценить разброс такой оценки, нам нужно оценить его на нескольких независимых выборках, взятых из интересующего распределения. В большинстве случаев рассмотрение действительно независимых выборок потребовало бы слишком большого количества данных по сравнению с реально доступным количеством. Затем мы можем использовать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чтобы сгенерировать несколько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которые можно рассматривать как «почти репрезентативные» и «почти независимые» (почти «независимые одинаково распределенные выборки»). Эти примеры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позволят нам аппроксимировать разброс оценки, оценивая его значение для каждой из них.</w:t>
      </w:r>
    </w:p>
    <w:p w14:paraId="155FCF17" w14:textId="149F2F22"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277EFCD4" wp14:editId="5F888D3C">
            <wp:extent cx="6120130" cy="2591435"/>
            <wp:effectExtent l="0" t="0" r="0" b="0"/>
            <wp:docPr id="6" name="Рисунок 6" descr=" Бутстрэп часто используется для оценки разброса или доверительного интервала некоторых статистических оце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Бутстрэп часто используется для оценки разброса или доверительного интервала некоторых статистических оцено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591435"/>
                    </a:xfrm>
                    <a:prstGeom prst="rect">
                      <a:avLst/>
                    </a:prstGeom>
                    <a:noFill/>
                    <a:ln>
                      <a:noFill/>
                    </a:ln>
                  </pic:spPr>
                </pic:pic>
              </a:graphicData>
            </a:graphic>
          </wp:inline>
        </w:drawing>
      </w:r>
    </w:p>
    <w:p w14:paraId="1798645F" w14:textId="77777777" w:rsidR="0070149D" w:rsidRPr="0070149D" w:rsidRDefault="0070149D" w:rsidP="0070149D">
      <w:pPr>
        <w:rPr>
          <w:rFonts w:ascii="Times New Roman" w:hAnsi="Times New Roman" w:cs="Times New Roman"/>
          <w:sz w:val="28"/>
          <w:szCs w:val="28"/>
        </w:rPr>
      </w:pP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часто используется для оценки разброса или доверительного интервала некоторых статистических оценок</w:t>
      </w:r>
    </w:p>
    <w:p w14:paraId="4C4F6122" w14:textId="77777777" w:rsidR="0070149D" w:rsidRPr="0070149D" w:rsidRDefault="0070149D" w:rsidP="0070149D">
      <w:pPr>
        <w:rPr>
          <w:rFonts w:ascii="Times New Roman" w:hAnsi="Times New Roman" w:cs="Times New Roman"/>
          <w:b/>
          <w:bCs/>
          <w:sz w:val="28"/>
          <w:szCs w:val="28"/>
        </w:rPr>
      </w:pPr>
      <w:proofErr w:type="spellStart"/>
      <w:r w:rsidRPr="0070149D">
        <w:rPr>
          <w:rFonts w:ascii="Times New Roman" w:hAnsi="Times New Roman" w:cs="Times New Roman"/>
          <w:b/>
          <w:bCs/>
          <w:sz w:val="28"/>
          <w:szCs w:val="28"/>
        </w:rPr>
        <w:t>Бэггинг</w:t>
      </w:r>
      <w:proofErr w:type="spellEnd"/>
    </w:p>
    <w:p w14:paraId="1C4E4047"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При обучении модели, независимо от того, имеем ли мы дело с</w:t>
      </w:r>
      <w:r w:rsidRPr="0070149D">
        <w:rPr>
          <w:rFonts w:ascii="Times New Roman" w:hAnsi="Times New Roman" w:cs="Times New Roman"/>
          <w:sz w:val="28"/>
          <w:szCs w:val="28"/>
        </w:rPr>
        <w:br/>
        <w:t xml:space="preserve">проблемой классификации или регрессии, мы получаем функцию, которая принимает входные данные, возвращает выходные данные и определяется в отношении обучающего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Из-за теоретического разброса обучающего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(мы напоминаем, что </w:t>
      </w:r>
      <w:proofErr w:type="spellStart"/>
      <w:r w:rsidRPr="0070149D">
        <w:rPr>
          <w:rFonts w:ascii="Times New Roman" w:hAnsi="Times New Roman" w:cs="Times New Roman"/>
          <w:sz w:val="28"/>
          <w:szCs w:val="28"/>
        </w:rPr>
        <w:t>датасет</w:t>
      </w:r>
      <w:proofErr w:type="spellEnd"/>
      <w:r w:rsidRPr="0070149D">
        <w:rPr>
          <w:rFonts w:ascii="Times New Roman" w:hAnsi="Times New Roman" w:cs="Times New Roman"/>
          <w:sz w:val="28"/>
          <w:szCs w:val="28"/>
        </w:rPr>
        <w:t xml:space="preserve"> является наблюдаемой выборкой, исходящей из истинно неизвестного базового распределения), подобранная модель также подвержена изменчивости: </w:t>
      </w:r>
      <w:r w:rsidRPr="0070149D">
        <w:rPr>
          <w:rFonts w:ascii="Times New Roman" w:hAnsi="Times New Roman" w:cs="Times New Roman"/>
          <w:b/>
          <w:bCs/>
          <w:sz w:val="28"/>
          <w:szCs w:val="28"/>
        </w:rPr>
        <w:t xml:space="preserve">если бы наблюдался другой </w:t>
      </w:r>
      <w:proofErr w:type="spellStart"/>
      <w:r w:rsidRPr="0070149D">
        <w:rPr>
          <w:rFonts w:ascii="Times New Roman" w:hAnsi="Times New Roman" w:cs="Times New Roman"/>
          <w:b/>
          <w:bCs/>
          <w:sz w:val="28"/>
          <w:szCs w:val="28"/>
        </w:rPr>
        <w:t>датасет</w:t>
      </w:r>
      <w:proofErr w:type="spellEnd"/>
      <w:r w:rsidRPr="0070149D">
        <w:rPr>
          <w:rFonts w:ascii="Times New Roman" w:hAnsi="Times New Roman" w:cs="Times New Roman"/>
          <w:b/>
          <w:bCs/>
          <w:sz w:val="28"/>
          <w:szCs w:val="28"/>
        </w:rPr>
        <w:t>, мы получили бы другую модель</w:t>
      </w:r>
      <w:r w:rsidRPr="0070149D">
        <w:rPr>
          <w:rFonts w:ascii="Times New Roman" w:hAnsi="Times New Roman" w:cs="Times New Roman"/>
          <w:sz w:val="28"/>
          <w:szCs w:val="28"/>
        </w:rPr>
        <w:t>.</w:t>
      </w:r>
    </w:p>
    <w:p w14:paraId="01049EFE"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Идея </w:t>
      </w:r>
      <w:proofErr w:type="spellStart"/>
      <w:r w:rsidRPr="0070149D">
        <w:rPr>
          <w:rFonts w:ascii="Times New Roman" w:hAnsi="Times New Roman" w:cs="Times New Roman"/>
          <w:sz w:val="28"/>
          <w:szCs w:val="28"/>
        </w:rPr>
        <w:t>бэггинга</w:t>
      </w:r>
      <w:proofErr w:type="spellEnd"/>
      <w:r w:rsidRPr="0070149D">
        <w:rPr>
          <w:rFonts w:ascii="Times New Roman" w:hAnsi="Times New Roman" w:cs="Times New Roman"/>
          <w:sz w:val="28"/>
          <w:szCs w:val="28"/>
        </w:rPr>
        <w:t xml:space="preserve"> в таком случае проста: мы хотим подобрать несколько независимых моделей и «усреднить» их прогнозы, чтобы получить модель с меньшим разбросом. Однако на практике мы не можем подобрать полностью независимые модели, потому что для этого потребуется слишком много </w:t>
      </w:r>
      <w:r w:rsidRPr="0070149D">
        <w:rPr>
          <w:rFonts w:ascii="Times New Roman" w:hAnsi="Times New Roman" w:cs="Times New Roman"/>
          <w:sz w:val="28"/>
          <w:szCs w:val="28"/>
        </w:rPr>
        <w:lastRenderedPageBreak/>
        <w:t xml:space="preserve">данных. Таким образом, мы полагаемся на хорошие «приблизительные свойства»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(репрезентативность и независимость) для подбора моделей, которые практически независимы.</w:t>
      </w:r>
    </w:p>
    <w:p w14:paraId="2954166B" w14:textId="21831225"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Сначала мы генерируем несколько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так, чтобы каждая новая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выборка выполняла роль (почти) еще одного независимого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взятого из истинного распределения. Затем мы можем </w:t>
      </w:r>
      <w:r w:rsidRPr="0070149D">
        <w:rPr>
          <w:rFonts w:ascii="Times New Roman" w:hAnsi="Times New Roman" w:cs="Times New Roman"/>
          <w:b/>
          <w:bCs/>
          <w:sz w:val="28"/>
          <w:szCs w:val="28"/>
        </w:rPr>
        <w:t>обучить слабого ученика для каждой из этих выборок и, наконец, агрегировать их так, чтобы мы как бы «усреднили» их результаты</w:t>
      </w:r>
      <w:r w:rsidRPr="0070149D">
        <w:rPr>
          <w:rFonts w:ascii="Times New Roman" w:hAnsi="Times New Roman" w:cs="Times New Roman"/>
          <w:sz w:val="28"/>
          <w:szCs w:val="28"/>
        </w:rPr>
        <w:t xml:space="preserve"> и, таким образом, получили модель ансамбля с разбросом меньшим, чем ее отдельные компоненты. </w:t>
      </w:r>
    </w:p>
    <w:p w14:paraId="19ECDDCB"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Итак, предположим, что у нас есть L </w:t>
      </w:r>
      <w:proofErr w:type="spellStart"/>
      <w:r w:rsidRPr="0070149D">
        <w:rPr>
          <w:rFonts w:ascii="Times New Roman" w:hAnsi="Times New Roman" w:cs="Times New Roman"/>
          <w:sz w:val="28"/>
          <w:szCs w:val="28"/>
        </w:rPr>
        <w:t>бутстрап</w:t>
      </w:r>
      <w:proofErr w:type="spellEnd"/>
      <w:r w:rsidRPr="0070149D">
        <w:rPr>
          <w:rFonts w:ascii="Times New Roman" w:hAnsi="Times New Roman" w:cs="Times New Roman"/>
          <w:sz w:val="28"/>
          <w:szCs w:val="28"/>
        </w:rPr>
        <w:t xml:space="preserve"> выборок (аппроксимации L независимых </w:t>
      </w:r>
      <w:proofErr w:type="spellStart"/>
      <w:r w:rsidRPr="0070149D">
        <w:rPr>
          <w:rFonts w:ascii="Times New Roman" w:hAnsi="Times New Roman" w:cs="Times New Roman"/>
          <w:sz w:val="28"/>
          <w:szCs w:val="28"/>
        </w:rPr>
        <w:t>датасетов</w:t>
      </w:r>
      <w:proofErr w:type="spellEnd"/>
      <w:r w:rsidRPr="0070149D">
        <w:rPr>
          <w:rFonts w:ascii="Times New Roman" w:hAnsi="Times New Roman" w:cs="Times New Roman"/>
          <w:sz w:val="28"/>
          <w:szCs w:val="28"/>
        </w:rPr>
        <w:t>) размера B. Это обозначается:</w:t>
      </w:r>
    </w:p>
    <w:p w14:paraId="2F056856" w14:textId="4E902719"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4DB620BD" wp14:editId="1A6923D3">
            <wp:extent cx="6120130" cy="158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58750"/>
                    </a:xfrm>
                    <a:prstGeom prst="rect">
                      <a:avLst/>
                    </a:prstGeom>
                    <a:noFill/>
                    <a:ln>
                      <a:noFill/>
                    </a:ln>
                  </pic:spPr>
                </pic:pic>
              </a:graphicData>
            </a:graphic>
          </wp:inline>
        </w:drawing>
      </w:r>
    </w:p>
    <w:p w14:paraId="43F61577" w14:textId="615BFAF9"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Мы можем обучить L почти независимых слабых учеников (по одному на каждый </w:t>
      </w:r>
      <w:proofErr w:type="spellStart"/>
      <w:r w:rsidRPr="0070149D">
        <w:rPr>
          <w:rFonts w:ascii="Times New Roman" w:hAnsi="Times New Roman" w:cs="Times New Roman"/>
          <w:sz w:val="28"/>
          <w:szCs w:val="28"/>
        </w:rPr>
        <w:t>датасет</w:t>
      </w:r>
      <w:proofErr w:type="spellEnd"/>
      <w:r w:rsidRPr="0070149D">
        <w:rPr>
          <w:rFonts w:ascii="Times New Roman" w:hAnsi="Times New Roman" w:cs="Times New Roman"/>
          <w:sz w:val="28"/>
          <w:szCs w:val="28"/>
        </w:rPr>
        <w:t xml:space="preserve">): </w:t>
      </w:r>
      <w:r w:rsidRPr="0070149D">
        <w:rPr>
          <w:rFonts w:ascii="Times New Roman" w:hAnsi="Times New Roman" w:cs="Times New Roman"/>
          <w:noProof/>
          <w:sz w:val="28"/>
          <w:szCs w:val="28"/>
        </w:rPr>
        <w:drawing>
          <wp:inline distT="0" distB="0" distL="0" distR="0" wp14:anchorId="5765AB14" wp14:editId="589B8577">
            <wp:extent cx="1695450" cy="201155"/>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4620" cy="240209"/>
                    </a:xfrm>
                    <a:prstGeom prst="rect">
                      <a:avLst/>
                    </a:prstGeom>
                    <a:noFill/>
                    <a:ln>
                      <a:noFill/>
                    </a:ln>
                  </pic:spPr>
                </pic:pic>
              </a:graphicData>
            </a:graphic>
          </wp:inline>
        </w:drawing>
      </w:r>
    </w:p>
    <w:p w14:paraId="52A24521"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А затем объединим их некоторым процессом усреднения, чтобы получить модель ансамбля с меньшим разбросом. Например, мы можем определить нашу сильную модель так, чтобы</w:t>
      </w:r>
    </w:p>
    <w:p w14:paraId="3642E718" w14:textId="73FDA9DF"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70C30A95" wp14:editId="560E0C60">
            <wp:extent cx="6120130" cy="81089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10895"/>
                    </a:xfrm>
                    <a:prstGeom prst="rect">
                      <a:avLst/>
                    </a:prstGeom>
                    <a:noFill/>
                    <a:ln>
                      <a:noFill/>
                    </a:ln>
                  </pic:spPr>
                </pic:pic>
              </a:graphicData>
            </a:graphic>
          </wp:inline>
        </w:drawing>
      </w:r>
    </w:p>
    <w:p w14:paraId="3FA850F8"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Существует несколько возможных способов объединить несколько моделей, обученных параллельно. Для задачи регрессии выходные данные отдельных моделей могут быть буквально усреднены для получения выходных данных модели ансамбля. Для задачи классификации класс, предсказываемый каждой моделью, можно рассматривать как голос, а класс, который получает большинство голосов, является ответом модели ансамбля (это называется </w:t>
      </w:r>
      <w:r w:rsidRPr="0070149D">
        <w:rPr>
          <w:rFonts w:ascii="Times New Roman" w:hAnsi="Times New Roman" w:cs="Times New Roman"/>
          <w:b/>
          <w:bCs/>
          <w:sz w:val="28"/>
          <w:szCs w:val="28"/>
        </w:rPr>
        <w:t>мажоритарным голосованием</w:t>
      </w:r>
      <w:r w:rsidRPr="0070149D">
        <w:rPr>
          <w:rFonts w:ascii="Times New Roman" w:hAnsi="Times New Roman" w:cs="Times New Roman"/>
          <w:sz w:val="28"/>
          <w:szCs w:val="28"/>
        </w:rPr>
        <w:t>). Что касается задачи классификации, мы также можем рассмотреть вероятности каждого класса, предсказываемые всеми моделями, усреднить эти вероятности и сохранить класс с самой высокой средней вероятностью (это называется </w:t>
      </w:r>
      <w:r w:rsidRPr="0070149D">
        <w:rPr>
          <w:rFonts w:ascii="Times New Roman" w:hAnsi="Times New Roman" w:cs="Times New Roman"/>
          <w:b/>
          <w:bCs/>
          <w:sz w:val="28"/>
          <w:szCs w:val="28"/>
        </w:rPr>
        <w:t>мягким голосованием</w:t>
      </w:r>
      <w:r w:rsidRPr="0070149D">
        <w:rPr>
          <w:rFonts w:ascii="Times New Roman" w:hAnsi="Times New Roman" w:cs="Times New Roman"/>
          <w:sz w:val="28"/>
          <w:szCs w:val="28"/>
        </w:rPr>
        <w:t>). Средние значения или голоса могут быть простыми или взвешенными, если будут использоваться любые соответствующие им веса.</w:t>
      </w:r>
    </w:p>
    <w:p w14:paraId="5E3FE373" w14:textId="77777777" w:rsidR="0070149D" w:rsidRPr="0070149D" w:rsidRDefault="0070149D" w:rsidP="0070149D">
      <w:pPr>
        <w:rPr>
          <w:rFonts w:ascii="Times New Roman" w:hAnsi="Times New Roman" w:cs="Times New Roman"/>
          <w:b/>
          <w:bCs/>
          <w:sz w:val="28"/>
          <w:szCs w:val="28"/>
        </w:rPr>
      </w:pPr>
      <w:r w:rsidRPr="0070149D">
        <w:rPr>
          <w:rFonts w:ascii="Times New Roman" w:hAnsi="Times New Roman" w:cs="Times New Roman"/>
          <w:b/>
          <w:bCs/>
          <w:sz w:val="28"/>
          <w:szCs w:val="28"/>
        </w:rPr>
        <w:t>Случайные леса</w:t>
      </w:r>
    </w:p>
    <w:p w14:paraId="5405AE1C"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b/>
          <w:bCs/>
          <w:i/>
          <w:iCs/>
          <w:sz w:val="28"/>
          <w:szCs w:val="28"/>
        </w:rPr>
        <w:t>Деревья решений</w:t>
      </w:r>
      <w:r w:rsidRPr="0070149D">
        <w:rPr>
          <w:rFonts w:ascii="Times New Roman" w:hAnsi="Times New Roman" w:cs="Times New Roman"/>
          <w:sz w:val="28"/>
          <w:szCs w:val="28"/>
        </w:rPr>
        <w:t xml:space="preserve"> являются очень популярными базовыми моделями для ансамблевых методов. Сильные ученики, состоящие из нескольких деревьев решений, можно назвать «лесами». Деревья, составляющие лес, могут быть </w:t>
      </w:r>
      <w:r w:rsidRPr="0070149D">
        <w:rPr>
          <w:rFonts w:ascii="Times New Roman" w:hAnsi="Times New Roman" w:cs="Times New Roman"/>
          <w:sz w:val="28"/>
          <w:szCs w:val="28"/>
        </w:rPr>
        <w:lastRenderedPageBreak/>
        <w:t>выбраны либо неглубокими (глубиной в несколько узлов), либо глубокими (глубиной в множество узлов, если не в полную глубину со всеми листьями). Неглубокие деревья имеют меньший разброс, но более высокое смещение, и тогда для них лучшим выбором станут </w:t>
      </w:r>
      <w:r w:rsidRPr="0070149D">
        <w:rPr>
          <w:rFonts w:ascii="Times New Roman" w:hAnsi="Times New Roman" w:cs="Times New Roman"/>
          <w:b/>
          <w:bCs/>
          <w:sz w:val="28"/>
          <w:szCs w:val="28"/>
        </w:rPr>
        <w:t>последовательные методы</w:t>
      </w:r>
      <w:r w:rsidRPr="0070149D">
        <w:rPr>
          <w:rFonts w:ascii="Times New Roman" w:hAnsi="Times New Roman" w:cs="Times New Roman"/>
          <w:sz w:val="28"/>
          <w:szCs w:val="28"/>
        </w:rPr>
        <w:t xml:space="preserve">, которые мы опишем позже. Глубокие деревья, с другой стороны, имеют низкое смещение, но высокий разброс и, таким образом, являются подходящим выбором для </w:t>
      </w:r>
      <w:proofErr w:type="spellStart"/>
      <w:r w:rsidRPr="0070149D">
        <w:rPr>
          <w:rFonts w:ascii="Times New Roman" w:hAnsi="Times New Roman" w:cs="Times New Roman"/>
          <w:sz w:val="28"/>
          <w:szCs w:val="28"/>
        </w:rPr>
        <w:t>бэггинга</w:t>
      </w:r>
      <w:proofErr w:type="spellEnd"/>
      <w:r w:rsidRPr="0070149D">
        <w:rPr>
          <w:rFonts w:ascii="Times New Roman" w:hAnsi="Times New Roman" w:cs="Times New Roman"/>
          <w:sz w:val="28"/>
          <w:szCs w:val="28"/>
        </w:rPr>
        <w:t>, который в основном направлен на уменьшение разброса.</w:t>
      </w:r>
    </w:p>
    <w:p w14:paraId="78F54142"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b/>
          <w:bCs/>
          <w:sz w:val="28"/>
          <w:szCs w:val="28"/>
        </w:rPr>
        <w:t>Случайный лес </w:t>
      </w:r>
      <w:r w:rsidRPr="0070149D">
        <w:rPr>
          <w:rFonts w:ascii="Times New Roman" w:hAnsi="Times New Roman" w:cs="Times New Roman"/>
          <w:sz w:val="28"/>
          <w:szCs w:val="28"/>
        </w:rPr>
        <w:t xml:space="preserve">представляет собой метод </w:t>
      </w:r>
      <w:proofErr w:type="spellStart"/>
      <w:r w:rsidRPr="0070149D">
        <w:rPr>
          <w:rFonts w:ascii="Times New Roman" w:hAnsi="Times New Roman" w:cs="Times New Roman"/>
          <w:sz w:val="28"/>
          <w:szCs w:val="28"/>
        </w:rPr>
        <w:t>бэггинга</w:t>
      </w:r>
      <w:proofErr w:type="spellEnd"/>
      <w:r w:rsidRPr="0070149D">
        <w:rPr>
          <w:rFonts w:ascii="Times New Roman" w:hAnsi="Times New Roman" w:cs="Times New Roman"/>
          <w:sz w:val="28"/>
          <w:szCs w:val="28"/>
        </w:rPr>
        <w:t xml:space="preserve">, где глубокие деревья, обученные на </w:t>
      </w:r>
      <w:proofErr w:type="spellStart"/>
      <w:r w:rsidRPr="0070149D">
        <w:rPr>
          <w:rFonts w:ascii="Times New Roman" w:hAnsi="Times New Roman" w:cs="Times New Roman"/>
          <w:sz w:val="28"/>
          <w:szCs w:val="28"/>
        </w:rPr>
        <w:t>бутстрап</w:t>
      </w:r>
      <w:proofErr w:type="spellEnd"/>
      <w:r w:rsidRPr="0070149D">
        <w:rPr>
          <w:rFonts w:ascii="Times New Roman" w:hAnsi="Times New Roman" w:cs="Times New Roman"/>
          <w:sz w:val="28"/>
          <w:szCs w:val="28"/>
        </w:rPr>
        <w:t xml:space="preserve"> выборках, объединяются для получения результата с более низким разбросом. Тем не менее, случайные леса также используют другой прием, чтобы несколько обученных деревьев были менее коррелированными друг с другом: при построении каждого дерева вместо выбора всех признаков из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для генерации </w:t>
      </w:r>
      <w:proofErr w:type="spellStart"/>
      <w:r w:rsidRPr="0070149D">
        <w:rPr>
          <w:rFonts w:ascii="Times New Roman" w:hAnsi="Times New Roman" w:cs="Times New Roman"/>
          <w:sz w:val="28"/>
          <w:szCs w:val="28"/>
        </w:rPr>
        <w:t>бутстрэпа</w:t>
      </w:r>
      <w:proofErr w:type="spellEnd"/>
      <w:r w:rsidRPr="0070149D">
        <w:rPr>
          <w:rFonts w:ascii="Times New Roman" w:hAnsi="Times New Roman" w:cs="Times New Roman"/>
          <w:sz w:val="28"/>
          <w:szCs w:val="28"/>
        </w:rPr>
        <w:t xml:space="preserve"> мы выбираем и сохраняем только случайное их подмножество для построения дерева (обычно одинаковое для всех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w:t>
      </w:r>
    </w:p>
    <w:p w14:paraId="73D5800D" w14:textId="35097573" w:rsid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Выборка по признакам действительно приводит к тому, что все деревья не смотрят на одну и ту же информацию для принятия своих решений и, таким образом, уменьшают корреляцию между различными возвращаемыми выходными данными. Другое преимущество выборки по признакам заключается в том, что </w:t>
      </w:r>
      <w:r w:rsidRPr="0070149D">
        <w:rPr>
          <w:rFonts w:ascii="Times New Roman" w:hAnsi="Times New Roman" w:cs="Times New Roman"/>
          <w:b/>
          <w:bCs/>
          <w:sz w:val="28"/>
          <w:szCs w:val="28"/>
        </w:rPr>
        <w:t>она делает процесс принятия решений более устойчивым к отсутствующим данным</w:t>
      </w:r>
      <w:r w:rsidRPr="0070149D">
        <w:rPr>
          <w:rFonts w:ascii="Times New Roman" w:hAnsi="Times New Roman" w:cs="Times New Roman"/>
          <w:sz w:val="28"/>
          <w:szCs w:val="28"/>
        </w:rPr>
        <w:t xml:space="preserve">: значения наблюдения (из обучающего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или нет) с отсутствующими данными можно восстанавливать с помощью регрессии или классификации на основе деревьев, которые учитывают только те признаки, где данные не отсутствуют. Таким образом, алгоритм случайного леса сочетает в себе концепции </w:t>
      </w:r>
      <w:proofErr w:type="spellStart"/>
      <w:r w:rsidRPr="0070149D">
        <w:rPr>
          <w:rFonts w:ascii="Times New Roman" w:hAnsi="Times New Roman" w:cs="Times New Roman"/>
          <w:sz w:val="28"/>
          <w:szCs w:val="28"/>
        </w:rPr>
        <w:t>бэггинга</w:t>
      </w:r>
      <w:proofErr w:type="spellEnd"/>
      <w:r w:rsidRPr="0070149D">
        <w:rPr>
          <w:rFonts w:ascii="Times New Roman" w:hAnsi="Times New Roman" w:cs="Times New Roman"/>
          <w:sz w:val="28"/>
          <w:szCs w:val="28"/>
        </w:rPr>
        <w:t xml:space="preserve"> и выбора подпространства случайных объектов для создания более устойчивых моделей.</w:t>
      </w:r>
    </w:p>
    <w:p w14:paraId="46EB99D7" w14:textId="607E1567" w:rsidR="00A2609C" w:rsidRPr="0070149D" w:rsidRDefault="00A2609C" w:rsidP="0070149D">
      <w:pPr>
        <w:rPr>
          <w:rFonts w:ascii="Times New Roman" w:hAnsi="Times New Roman" w:cs="Times New Roman"/>
          <w:sz w:val="28"/>
          <w:szCs w:val="28"/>
        </w:rPr>
      </w:pPr>
      <w:r w:rsidRPr="00A2609C">
        <w:rPr>
          <w:rFonts w:ascii="Times New Roman" w:hAnsi="Times New Roman" w:cs="Times New Roman"/>
          <w:sz w:val="28"/>
          <w:szCs w:val="28"/>
        </w:rPr>
        <w:t>https://neurohive.io/ru/osnovy-data-science/ansamblevye-metody-begging-busting-i-steking/</w:t>
      </w:r>
      <w:bookmarkStart w:id="0" w:name="_GoBack"/>
      <w:bookmarkEnd w:id="0"/>
    </w:p>
    <w:sectPr w:rsidR="00A2609C" w:rsidRPr="0070149D" w:rsidSect="0070149D">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04"/>
    <w:rsid w:val="005B7A04"/>
    <w:rsid w:val="005D4556"/>
    <w:rsid w:val="0070149D"/>
    <w:rsid w:val="009718FE"/>
    <w:rsid w:val="00A260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A53F"/>
  <w15:chartTrackingRefBased/>
  <w15:docId w15:val="{C9CD4D48-64F8-4C18-89BE-806D6DF9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149D"/>
    <w:rPr>
      <w:color w:val="0563C1" w:themeColor="hyperlink"/>
      <w:u w:val="single"/>
    </w:rPr>
  </w:style>
  <w:style w:type="character" w:styleId="a4">
    <w:name w:val="Unresolved Mention"/>
    <w:basedOn w:val="a0"/>
    <w:uiPriority w:val="99"/>
    <w:semiHidden/>
    <w:unhideWhenUsed/>
    <w:rsid w:val="00701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472689">
      <w:bodyDiv w:val="1"/>
      <w:marLeft w:val="0"/>
      <w:marRight w:val="0"/>
      <w:marTop w:val="0"/>
      <w:marBottom w:val="0"/>
      <w:divBdr>
        <w:top w:val="none" w:sz="0" w:space="0" w:color="auto"/>
        <w:left w:val="none" w:sz="0" w:space="0" w:color="auto"/>
        <w:bottom w:val="none" w:sz="0" w:space="0" w:color="auto"/>
        <w:right w:val="none" w:sz="0" w:space="0" w:color="auto"/>
      </w:divBdr>
      <w:divsChild>
        <w:div w:id="564612419">
          <w:marLeft w:val="0"/>
          <w:marRight w:val="0"/>
          <w:marTop w:val="0"/>
          <w:marBottom w:val="0"/>
          <w:divBdr>
            <w:top w:val="none" w:sz="0" w:space="0" w:color="auto"/>
            <w:left w:val="none" w:sz="0" w:space="0" w:color="auto"/>
            <w:bottom w:val="none" w:sz="0" w:space="0" w:color="auto"/>
            <w:right w:val="none" w:sz="0" w:space="0" w:color="auto"/>
          </w:divBdr>
        </w:div>
        <w:div w:id="1047683524">
          <w:marLeft w:val="0"/>
          <w:marRight w:val="0"/>
          <w:marTop w:val="0"/>
          <w:marBottom w:val="0"/>
          <w:divBdr>
            <w:top w:val="none" w:sz="0" w:space="0" w:color="auto"/>
            <w:left w:val="none" w:sz="0" w:space="0" w:color="auto"/>
            <w:bottom w:val="none" w:sz="0" w:space="0" w:color="auto"/>
            <w:right w:val="none" w:sz="0" w:space="0" w:color="auto"/>
          </w:divBdr>
        </w:div>
        <w:div w:id="1159417387">
          <w:marLeft w:val="0"/>
          <w:marRight w:val="0"/>
          <w:marTop w:val="0"/>
          <w:marBottom w:val="0"/>
          <w:divBdr>
            <w:top w:val="none" w:sz="0" w:space="0" w:color="auto"/>
            <w:left w:val="none" w:sz="0" w:space="0" w:color="auto"/>
            <w:bottom w:val="none" w:sz="0" w:space="0" w:color="auto"/>
            <w:right w:val="none" w:sz="0" w:space="0" w:color="auto"/>
          </w:divBdr>
        </w:div>
        <w:div w:id="1722825169">
          <w:marLeft w:val="0"/>
          <w:marRight w:val="0"/>
          <w:marTop w:val="0"/>
          <w:marBottom w:val="0"/>
          <w:divBdr>
            <w:top w:val="none" w:sz="0" w:space="0" w:color="auto"/>
            <w:left w:val="none" w:sz="0" w:space="0" w:color="auto"/>
            <w:bottom w:val="none" w:sz="0" w:space="0" w:color="auto"/>
            <w:right w:val="none" w:sz="0" w:space="0" w:color="auto"/>
          </w:divBdr>
        </w:div>
        <w:div w:id="331184622">
          <w:marLeft w:val="0"/>
          <w:marRight w:val="0"/>
          <w:marTop w:val="0"/>
          <w:marBottom w:val="240"/>
          <w:divBdr>
            <w:top w:val="none" w:sz="0" w:space="0" w:color="auto"/>
            <w:left w:val="none" w:sz="0" w:space="0" w:color="auto"/>
            <w:bottom w:val="none" w:sz="0" w:space="0" w:color="auto"/>
            <w:right w:val="none" w:sz="0" w:space="0" w:color="auto"/>
          </w:divBdr>
          <w:divsChild>
            <w:div w:id="388460816">
              <w:marLeft w:val="0"/>
              <w:marRight w:val="0"/>
              <w:marTop w:val="0"/>
              <w:marBottom w:val="0"/>
              <w:divBdr>
                <w:top w:val="none" w:sz="0" w:space="0" w:color="auto"/>
                <w:left w:val="none" w:sz="0" w:space="0" w:color="auto"/>
                <w:bottom w:val="none" w:sz="0" w:space="0" w:color="auto"/>
                <w:right w:val="none" w:sz="0" w:space="0" w:color="auto"/>
              </w:divBdr>
            </w:div>
          </w:divsChild>
        </w:div>
        <w:div w:id="435029779">
          <w:marLeft w:val="0"/>
          <w:marRight w:val="0"/>
          <w:marTop w:val="0"/>
          <w:marBottom w:val="240"/>
          <w:divBdr>
            <w:top w:val="none" w:sz="0" w:space="0" w:color="auto"/>
            <w:left w:val="none" w:sz="0" w:space="0" w:color="auto"/>
            <w:bottom w:val="none" w:sz="0" w:space="0" w:color="auto"/>
            <w:right w:val="none" w:sz="0" w:space="0" w:color="auto"/>
          </w:divBdr>
          <w:divsChild>
            <w:div w:id="1089082370">
              <w:marLeft w:val="0"/>
              <w:marRight w:val="0"/>
              <w:marTop w:val="0"/>
              <w:marBottom w:val="0"/>
              <w:divBdr>
                <w:top w:val="none" w:sz="0" w:space="0" w:color="auto"/>
                <w:left w:val="none" w:sz="0" w:space="0" w:color="auto"/>
                <w:bottom w:val="none" w:sz="0" w:space="0" w:color="auto"/>
                <w:right w:val="none" w:sz="0" w:space="0" w:color="auto"/>
              </w:divBdr>
            </w:div>
          </w:divsChild>
        </w:div>
        <w:div w:id="1872919549">
          <w:marLeft w:val="0"/>
          <w:marRight w:val="0"/>
          <w:marTop w:val="0"/>
          <w:marBottom w:val="240"/>
          <w:divBdr>
            <w:top w:val="none" w:sz="0" w:space="0" w:color="auto"/>
            <w:left w:val="none" w:sz="0" w:space="0" w:color="auto"/>
            <w:bottom w:val="none" w:sz="0" w:space="0" w:color="auto"/>
            <w:right w:val="none" w:sz="0" w:space="0" w:color="auto"/>
          </w:divBdr>
          <w:divsChild>
            <w:div w:id="2004770782">
              <w:marLeft w:val="0"/>
              <w:marRight w:val="0"/>
              <w:marTop w:val="0"/>
              <w:marBottom w:val="0"/>
              <w:divBdr>
                <w:top w:val="none" w:sz="0" w:space="0" w:color="auto"/>
                <w:left w:val="none" w:sz="0" w:space="0" w:color="auto"/>
                <w:bottom w:val="none" w:sz="0" w:space="0" w:color="auto"/>
                <w:right w:val="none" w:sz="0" w:space="0" w:color="auto"/>
              </w:divBdr>
            </w:div>
          </w:divsChild>
        </w:div>
        <w:div w:id="964504367">
          <w:marLeft w:val="0"/>
          <w:marRight w:val="0"/>
          <w:marTop w:val="0"/>
          <w:marBottom w:val="0"/>
          <w:divBdr>
            <w:top w:val="none" w:sz="0" w:space="0" w:color="auto"/>
            <w:left w:val="none" w:sz="0" w:space="0" w:color="auto"/>
            <w:bottom w:val="none" w:sz="0" w:space="0" w:color="auto"/>
            <w:right w:val="none" w:sz="0" w:space="0" w:color="auto"/>
          </w:divBdr>
        </w:div>
        <w:div w:id="109694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1605</Words>
  <Characters>9152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2021-05-24T04:03:00Z</dcterms:created>
  <dcterms:modified xsi:type="dcterms:W3CDTF">2021-05-24T06:49:00Z</dcterms:modified>
</cp:coreProperties>
</file>