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5350" w14:textId="77777777" w:rsidR="00BC0294" w:rsidRPr="004E3E88" w:rsidRDefault="00BC0294" w:rsidP="00BC0294">
      <w:pPr>
        <w:pStyle w:val="Heading1"/>
        <w:spacing w:before="0"/>
        <w:jc w:val="both"/>
        <w:rPr>
          <w:rFonts w:ascii="Times New Roman" w:eastAsia="Times New Roman" w:hAnsi="Times New Roman" w:cs="Times New Roman"/>
          <w:sz w:val="36"/>
          <w:szCs w:val="36"/>
        </w:rPr>
      </w:pPr>
      <w:r w:rsidRPr="24FFB1BF">
        <w:rPr>
          <w:rFonts w:ascii="Times New Roman" w:eastAsia="Times New Roman" w:hAnsi="Times New Roman" w:cs="Times New Roman"/>
          <w:sz w:val="36"/>
          <w:szCs w:val="36"/>
        </w:rPr>
        <w:t xml:space="preserve">What are the primary theories of change linking M&amp;E systems strengthening interventions to improved </w:t>
      </w:r>
      <w:proofErr w:type="gramStart"/>
      <w:r w:rsidRPr="24FFB1BF">
        <w:rPr>
          <w:rFonts w:ascii="Times New Roman" w:eastAsia="Times New Roman" w:hAnsi="Times New Roman" w:cs="Times New Roman"/>
          <w:sz w:val="36"/>
          <w:szCs w:val="36"/>
        </w:rPr>
        <w:t>evaluative evidence</w:t>
      </w:r>
      <w:proofErr w:type="gramEnd"/>
      <w:r w:rsidRPr="24FFB1BF">
        <w:rPr>
          <w:rFonts w:ascii="Times New Roman" w:eastAsia="Times New Roman" w:hAnsi="Times New Roman" w:cs="Times New Roman"/>
          <w:sz w:val="36"/>
          <w:szCs w:val="36"/>
        </w:rPr>
        <w:t xml:space="preserve"> demand, supply, and/or use?</w:t>
      </w:r>
    </w:p>
    <w:p w14:paraId="0A8CEF72" w14:textId="77777777" w:rsidR="00BC0294" w:rsidRPr="004E3E88" w:rsidRDefault="00BC0294" w:rsidP="00BC0294">
      <w:pPr>
        <w:rPr>
          <w:rFonts w:ascii="Times New Roman" w:eastAsia="Times New Roman" w:hAnsi="Times New Roman" w:cs="Times New Roman"/>
        </w:rPr>
      </w:pPr>
    </w:p>
    <w:p w14:paraId="5BCA918C" w14:textId="77777777" w:rsidR="00BC0294" w:rsidRPr="004E3E88" w:rsidRDefault="00BC0294" w:rsidP="00BC0294">
      <w:pPr>
        <w:pStyle w:val="Heading2"/>
        <w:rPr>
          <w:rFonts w:ascii="Times New Roman" w:eastAsia="Times New Roman" w:hAnsi="Times New Roman" w:cs="Times New Roman"/>
        </w:rPr>
      </w:pPr>
      <w:r w:rsidRPr="24FFB1BF">
        <w:rPr>
          <w:rFonts w:ascii="Times New Roman" w:eastAsia="Times New Roman" w:hAnsi="Times New Roman" w:cs="Times New Roman"/>
        </w:rPr>
        <w:t>Executive Summary</w:t>
      </w:r>
    </w:p>
    <w:p w14:paraId="053E9D5A" w14:textId="77777777" w:rsidR="00BC0294" w:rsidRPr="00F103FA"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This review synthesizes relevant Theories of Change (</w:t>
      </w:r>
      <w:proofErr w:type="spellStart"/>
      <w:r w:rsidRPr="24FFB1BF">
        <w:rPr>
          <w:rFonts w:ascii="Times New Roman" w:eastAsia="Times New Roman" w:hAnsi="Times New Roman" w:cs="Times New Roman"/>
        </w:rPr>
        <w:t>ToCs</w:t>
      </w:r>
      <w:proofErr w:type="spellEnd"/>
      <w:r w:rsidRPr="24FFB1BF">
        <w:rPr>
          <w:rFonts w:ascii="Times New Roman" w:eastAsia="Times New Roman" w:hAnsi="Times New Roman" w:cs="Times New Roman"/>
        </w:rPr>
        <w:t xml:space="preserve">) from the extant literature that </w:t>
      </w:r>
      <w:proofErr w:type="gramStart"/>
      <w:r w:rsidRPr="24FFB1BF">
        <w:rPr>
          <w:rFonts w:ascii="Times New Roman" w:eastAsia="Times New Roman" w:hAnsi="Times New Roman" w:cs="Times New Roman"/>
        </w:rPr>
        <w:t>explain</w:t>
      </w:r>
      <w:proofErr w:type="gramEnd"/>
      <w:r w:rsidRPr="24FFB1BF">
        <w:rPr>
          <w:rFonts w:ascii="Times New Roman" w:eastAsia="Times New Roman" w:hAnsi="Times New Roman" w:cs="Times New Roman"/>
        </w:rPr>
        <w:t xml:space="preserve"> how M&amp;E-system-strengthening interventions foster demand for, supply of, and use of evaluative evidence. Focusing on five influential frameworks – King &amp;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(2018),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Ottoson (2009), Stewart (2015), and Yearwood (2018) – it explores multilevel influence models, knowledge-translation networks, knowledge-for-action lenses, capacity-building ecosystems, and push–pull–exchange mechanisms. Each framework articulates distinct causal pathways but shares a systemic orientation: effective M&amp;E strengthening requires integrated, context-responsive strategies that link technical improvements to relational, cultural, and institutional change.</w:t>
      </w:r>
    </w:p>
    <w:p w14:paraId="4E2731FA" w14:textId="77777777" w:rsidR="00BC0294" w:rsidRPr="00F103FA"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The analysis prioritizes system-level interventions (e.g., governance structures, mandates, networks, incentives) over the influence of discrete evaluations, highlighting how use is institutionalized through overlapping mechanisms of supply, demand, and exchange. Common enablers include political leadership, trusted relationships, tailored capacity support, and a culture of reflective learning. Across theories, one message is clear: evidence systems thrive not through stand-alone tools or reports but through coherent ecosystems that embed evidence in how institutions think, plan, and act.</w:t>
      </w:r>
    </w:p>
    <w:p w14:paraId="50B52B12" w14:textId="77777777"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Gaps remain, particularly in understanding how context shapes the sequencing, interaction, and durability of mechanisms. Longitudinal, comparative research across governance settings is essential to refine </w:t>
      </w:r>
      <w:proofErr w:type="spellStart"/>
      <w:r w:rsidRPr="24FFB1BF">
        <w:rPr>
          <w:rFonts w:ascii="Times New Roman" w:eastAsia="Times New Roman" w:hAnsi="Times New Roman" w:cs="Times New Roman"/>
        </w:rPr>
        <w:t>ToCs</w:t>
      </w:r>
      <w:proofErr w:type="spellEnd"/>
      <w:r w:rsidRPr="24FFB1BF">
        <w:rPr>
          <w:rFonts w:ascii="Times New Roman" w:eastAsia="Times New Roman" w:hAnsi="Times New Roman" w:cs="Times New Roman"/>
        </w:rPr>
        <w:t xml:space="preserve"> and improve the design, adaptation, and evaluation of M&amp;E-system interventions.</w:t>
      </w:r>
    </w:p>
    <w:p w14:paraId="514236EB" w14:textId="77777777" w:rsidR="00BC0294" w:rsidRPr="004E3E88" w:rsidRDefault="00BC0294" w:rsidP="00BC0294">
      <w:pPr>
        <w:pStyle w:val="Heading2"/>
        <w:rPr>
          <w:rFonts w:ascii="Times New Roman" w:eastAsia="Times New Roman" w:hAnsi="Times New Roman" w:cs="Times New Roman"/>
        </w:rPr>
      </w:pPr>
      <w:r w:rsidRPr="24FFB1BF">
        <w:rPr>
          <w:rFonts w:ascii="Times New Roman" w:eastAsia="Times New Roman" w:hAnsi="Times New Roman" w:cs="Times New Roman"/>
        </w:rPr>
        <w:t>Introduction</w:t>
      </w:r>
    </w:p>
    <w:p w14:paraId="7441A5FE" w14:textId="77777777" w:rsidR="00BC0294" w:rsidRPr="00F103FA"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Monitoring and Evaluation (M&amp;E) systems play a foundational role in enabling evidence-informed decision-making across government and development institutions. Yet many strengthening efforts focus on producing more data or evaluations, without understanding how system-level interventions create the enabling conditions for evidence to be demanded, supplied, and used routinely. This review asks a more strategic question: How do interventions that strengthen M&amp;E systems – not isolated evaluations – lead to sustained improvements in the institutionalization of evaluative evidence?</w:t>
      </w:r>
    </w:p>
    <w:p w14:paraId="1589EC33"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To answer this, the second section unpacks five Theories of Change that explicitly link M&amp;E system strengthening to evidence use, each grounded in a different disciplinary tradition or policy </w:t>
      </w:r>
      <w:r w:rsidRPr="24FFB1BF">
        <w:rPr>
          <w:rFonts w:ascii="Times New Roman" w:eastAsia="Times New Roman" w:hAnsi="Times New Roman" w:cs="Times New Roman"/>
        </w:rPr>
        <w:lastRenderedPageBreak/>
        <w:t>experience. The third section synthesizes their mechanisms into supply-side, demand-side, and interactive strategies. The fourth section explores cross-cutting themes – including political context, governance, relational trust, and time horizons. Finally, the paper outlines the implications of these insights and identifies key research gaps.</w:t>
      </w:r>
    </w:p>
    <w:p w14:paraId="67371BCB"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This review aims to inform practitioners designing, implementing, or evaluating M&amp;E-system-strengthening strategies – particularly those working in complex governance settings where change is non-linear, relational, and context-dependent.</w:t>
      </w:r>
    </w:p>
    <w:p w14:paraId="48322E96" w14:textId="77777777" w:rsidR="00BC0294" w:rsidRPr="004E3E88" w:rsidRDefault="00BC0294" w:rsidP="00BC0294">
      <w:pPr>
        <w:pStyle w:val="Heading2"/>
        <w:rPr>
          <w:rFonts w:ascii="Times New Roman" w:eastAsia="Times New Roman" w:hAnsi="Times New Roman" w:cs="Times New Roman"/>
        </w:rPr>
      </w:pPr>
      <w:r w:rsidRPr="24FFB1BF">
        <w:rPr>
          <w:rFonts w:ascii="Times New Roman" w:eastAsia="Times New Roman" w:hAnsi="Times New Roman" w:cs="Times New Roman"/>
        </w:rPr>
        <w:t>Theories of Change Connecting M&amp;E-System Strengthening to Evidence Use</w:t>
      </w:r>
    </w:p>
    <w:p w14:paraId="4832034A" w14:textId="77777777" w:rsidR="00BC0294" w:rsidRPr="004E3E88" w:rsidRDefault="00BC0294" w:rsidP="00BC0294">
      <w:pPr>
        <w:pStyle w:val="Heading3"/>
        <w:rPr>
          <w:rFonts w:ascii="Times New Roman" w:eastAsia="Times New Roman" w:hAnsi="Times New Roman" w:cs="Times New Roman"/>
        </w:rPr>
      </w:pPr>
      <w:r w:rsidRPr="24FFB1BF">
        <w:rPr>
          <w:rFonts w:ascii="Times New Roman" w:eastAsia="Times New Roman" w:hAnsi="Times New Roman" w:cs="Times New Roman"/>
        </w:rPr>
        <w:t xml:space="preserve">Multilevel Influence Frameworks (King &amp;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2018)</w:t>
      </w:r>
    </w:p>
    <w:p w14:paraId="41B4FCB5" w14:textId="47B76281"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King and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(2018) propose a multilevel framework that integrates earlier models of evaluation use and influence, particularly Henry and Mark’s (2003) Schematic Theory and Kirkhart’s (2000) Integrated Theory. Their work categorizes influence into three nested levels (individual, interpersonal, and collective) and three outcome domains (cognitive/affective, motivational, and behavioral). This yields nine distinct influence pathways that may unfold through and beyond an organization’s engagement with evaluation.</w:t>
      </w:r>
    </w:p>
    <w:p w14:paraId="574F88E4"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To illustrate the multilevel nature of this framework, consider how a well-resourced M&amp;E unit might </w:t>
      </w:r>
      <w:proofErr w:type="gramStart"/>
      <w:r w:rsidRPr="24FFB1BF">
        <w:rPr>
          <w:rFonts w:ascii="Times New Roman" w:eastAsia="Times New Roman" w:hAnsi="Times New Roman" w:cs="Times New Roman"/>
        </w:rPr>
        <w:t>impact</w:t>
      </w:r>
      <w:proofErr w:type="gramEnd"/>
      <w:r w:rsidRPr="24FFB1BF">
        <w:rPr>
          <w:rFonts w:ascii="Times New Roman" w:eastAsia="Times New Roman" w:hAnsi="Times New Roman" w:cs="Times New Roman"/>
        </w:rPr>
        <w:t xml:space="preserve"> individual staff knowledge (cognitive/affective), shift team attitudes toward evidence-informed decision-making (motivational), and eventually foster new bureaucratic procedures or budget allocations (behavioral). The model also distinguishes between direct, indirect, and symbolic use, helping evaluators track longer-term and less tangible effects. These elements align the model with a realist “what works for whom under what conditions” lens, as it emphasizes context-mechanism-outcome patterns rather than linear logic.</w:t>
      </w:r>
    </w:p>
    <w:p w14:paraId="21436434"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King and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further classify theories of use by scale, labeling them as “species” that range from one-off settings to influence across time and institutional space (i.e., systemic uptake). This classification supports M&amp;E system strengthening efforts by clarifying which types of change (e.g., uptake of findings, development of evidence norms, procedural change) are likely to manifest at which levels and through which mechanisms.</w:t>
      </w:r>
    </w:p>
    <w:p w14:paraId="3167DC68"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By combining descriptive and normative insights, the framework offers a flexible yet empirically grounded theory of change for M&amp;E strengthening. Its multilevel schema underscores that individual evaluator behavior, organizational culture, and external policy systems interact dynamically to shape how evidence is produced, shared, and used.</w:t>
      </w:r>
    </w:p>
    <w:p w14:paraId="787F607D" w14:textId="77777777" w:rsidR="00BC0294" w:rsidRPr="004E3E88" w:rsidRDefault="00BC0294" w:rsidP="00BC0294">
      <w:pPr>
        <w:pStyle w:val="Heading3"/>
        <w:rPr>
          <w:rFonts w:ascii="Times New Roman" w:eastAsia="Times New Roman" w:hAnsi="Times New Roman" w:cs="Times New Roman"/>
        </w:rPr>
      </w:pPr>
      <w:r w:rsidRPr="24FFB1BF">
        <w:rPr>
          <w:rFonts w:ascii="Times New Roman" w:eastAsia="Times New Roman" w:hAnsi="Times New Roman" w:cs="Times New Roman"/>
        </w:rPr>
        <w:t>Knowledge-Translation Network Theory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w:t>
      </w:r>
    </w:p>
    <w:p w14:paraId="49A58C07" w14:textId="77777777" w:rsidR="00BC0294" w:rsidRPr="00D97D6D" w:rsidRDefault="00BC0294" w:rsidP="00BC0294">
      <w:pPr>
        <w:jc w:val="both"/>
        <w:rPr>
          <w:rFonts w:ascii="Times New Roman" w:eastAsia="Times New Roman" w:hAnsi="Times New Roman" w:cs="Times New Roman"/>
        </w:rPr>
      </w:pP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present a comprehensive Theory of Change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and monitoring and evaluation framework developed for the Evidence-Informed Policy Network (</w:t>
      </w:r>
      <w:proofErr w:type="spellStart"/>
      <w:r w:rsidRPr="24FFB1BF">
        <w:rPr>
          <w:rFonts w:ascii="Times New Roman" w:eastAsia="Times New Roman" w:hAnsi="Times New Roman" w:cs="Times New Roman"/>
        </w:rPr>
        <w:t>EVIPNet</w:t>
      </w:r>
      <w:proofErr w:type="spellEnd"/>
      <w:r w:rsidRPr="24FFB1BF">
        <w:rPr>
          <w:rFonts w:ascii="Times New Roman" w:eastAsia="Times New Roman" w:hAnsi="Times New Roman" w:cs="Times New Roman"/>
        </w:rPr>
        <w:t xml:space="preserve">) Europe, </w:t>
      </w:r>
      <w:r w:rsidRPr="24FFB1BF">
        <w:rPr>
          <w:rFonts w:ascii="Times New Roman" w:eastAsia="Times New Roman" w:hAnsi="Times New Roman" w:cs="Times New Roman"/>
        </w:rPr>
        <w:lastRenderedPageBreak/>
        <w:t>which is designed to institutionalize knowledge translation (KT) across countries through coordinated, multi-actor, multi-level governance structures. Their framework draws heavily on systems thinking and recognizes that improving evidence use requires more than enhancing technical capacity; it necessitates cultural, organizational, and relational transformation.</w:t>
      </w:r>
    </w:p>
    <w:p w14:paraId="6EF9C2AE"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The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xml:space="preserve"> articulates three core domains through which KT interventions are expected to operate: (1) KT capacity and skill building, (2) network structure, governance, and leadership, and (3) KT and evidence-informed policy (EIP) value and culture. These domains are intentionally designed to span both individual country teams – referred to as Knowledge Translation Platforms (KTPs) – and the regional Secretariat, which facilitates peer learning, technical assistance, and strategic coherence. The model is meant to evolve from a centralized hub-and-spoke structure to a more decentralized, interconnected web of mutual support.</w:t>
      </w:r>
    </w:p>
    <w:p w14:paraId="7EAE7AC1"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Notably, the theory emphasizes polycentric governance as an enabler of institutional change. By codifying standards, facilitating joint indicator development, and convening learning exchanges, </w:t>
      </w:r>
      <w:proofErr w:type="spellStart"/>
      <w:r w:rsidRPr="24FFB1BF">
        <w:rPr>
          <w:rFonts w:ascii="Times New Roman" w:eastAsia="Times New Roman" w:hAnsi="Times New Roman" w:cs="Times New Roman"/>
        </w:rPr>
        <w:t>EVIPNet’s</w:t>
      </w:r>
      <w:proofErr w:type="spellEnd"/>
      <w:r w:rsidRPr="24FFB1BF">
        <w:rPr>
          <w:rFonts w:ascii="Times New Roman" w:eastAsia="Times New Roman" w:hAnsi="Times New Roman" w:cs="Times New Roman"/>
        </w:rPr>
        <w:t xml:space="preserve"> secretariat supports the emergence of stable ‘rules of the game’ for KT. These governance mechanisms are as central to the theory as evidence briefs or training sessions. In fact, the theory reframes M&amp;E-system strengthening as a process of institutionalizing these structural and cultural arrangements.</w:t>
      </w:r>
    </w:p>
    <w:p w14:paraId="06A82D89" w14:textId="614AD41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A key contribution of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al.’s framework is its attention to different network life-cycle phases – from formation to sustainability – and how Secretariat and country-level roles must evolve accordingly. The theory assumes that, over time, local actors will increasingly take ownership of KT practices, sustained by shared norms, embedded tools, and networked accountability. This provides a long-range vision for how KT structures can be institutionalized within policy systems, making it highly relevant for M&amp;E strengthening efforts.</w:t>
      </w:r>
    </w:p>
    <w:p w14:paraId="7CE79823" w14:textId="77777777" w:rsidR="00BC0294" w:rsidRPr="004E3E88" w:rsidRDefault="00BC0294" w:rsidP="00BC0294">
      <w:pPr>
        <w:pStyle w:val="Heading3"/>
        <w:rPr>
          <w:rFonts w:ascii="Times New Roman" w:eastAsia="Times New Roman" w:hAnsi="Times New Roman" w:cs="Times New Roman"/>
        </w:rPr>
      </w:pPr>
      <w:r w:rsidRPr="24FFB1BF">
        <w:rPr>
          <w:rFonts w:ascii="Times New Roman" w:eastAsia="Times New Roman" w:hAnsi="Times New Roman" w:cs="Times New Roman"/>
        </w:rPr>
        <w:t>Knowledge-for-Action Lenses (Ottoson, 2009)</w:t>
      </w:r>
    </w:p>
    <w:p w14:paraId="5BC47FD5" w14:textId="0EB75F69"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Ottoson (2009) synthesizes five influential theoretical perspectives – knowledge utilization, diffusion, implementation, transfer, and translation – into what she calls “knowledge-for-action” theories. These lenses offer complementary insights into how different types of knowledge move through and are acted upon within complex systems. Crucially, Ottoson’s framework is not about evaluating uptake from a single study, but about analyzing how systemic, institutional, and contextual factors shape the conditions under which knowledge becomes actionable.</w:t>
      </w:r>
    </w:p>
    <w:p w14:paraId="1C68F7CE"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Each theory contributes distinct evaluative emphases:</w:t>
      </w:r>
    </w:p>
    <w:p w14:paraId="01F7631F" w14:textId="77777777" w:rsidR="00BC0294" w:rsidRPr="004E3E88" w:rsidRDefault="00BC0294" w:rsidP="00BC0294">
      <w:pPr>
        <w:numPr>
          <w:ilvl w:val="0"/>
          <w:numId w:val="1"/>
        </w:numPr>
        <w:jc w:val="both"/>
        <w:rPr>
          <w:rFonts w:ascii="Times New Roman" w:eastAsia="Times New Roman" w:hAnsi="Times New Roman" w:cs="Times New Roman"/>
        </w:rPr>
      </w:pPr>
      <w:r w:rsidRPr="24FFB1BF">
        <w:rPr>
          <w:rFonts w:ascii="Times New Roman" w:eastAsia="Times New Roman" w:hAnsi="Times New Roman" w:cs="Times New Roman"/>
          <w:i/>
          <w:iCs/>
        </w:rPr>
        <w:t>Knowledge utilization theory</w:t>
      </w:r>
      <w:r w:rsidRPr="24FFB1BF">
        <w:rPr>
          <w:rFonts w:ascii="Times New Roman" w:eastAsia="Times New Roman" w:hAnsi="Times New Roman" w:cs="Times New Roman"/>
        </w:rPr>
        <w:t xml:space="preserve"> focuses on whether and how research is used by decision-makers – whether instrumentally, conceptually, or symbolically – and the motivations or constraints surrounding that use.</w:t>
      </w:r>
    </w:p>
    <w:p w14:paraId="0AA2421B" w14:textId="77777777" w:rsidR="00BC0294" w:rsidRPr="004E3E88" w:rsidRDefault="00BC0294" w:rsidP="00BC0294">
      <w:pPr>
        <w:numPr>
          <w:ilvl w:val="0"/>
          <w:numId w:val="1"/>
        </w:numPr>
        <w:jc w:val="both"/>
        <w:rPr>
          <w:rFonts w:ascii="Times New Roman" w:eastAsia="Times New Roman" w:hAnsi="Times New Roman" w:cs="Times New Roman"/>
        </w:rPr>
      </w:pPr>
      <w:r w:rsidRPr="24FFB1BF">
        <w:rPr>
          <w:rFonts w:ascii="Times New Roman" w:eastAsia="Times New Roman" w:hAnsi="Times New Roman" w:cs="Times New Roman"/>
          <w:i/>
          <w:iCs/>
        </w:rPr>
        <w:t>Diffusion theory</w:t>
      </w:r>
      <w:r w:rsidRPr="24FFB1BF">
        <w:rPr>
          <w:rFonts w:ascii="Times New Roman" w:eastAsia="Times New Roman" w:hAnsi="Times New Roman" w:cs="Times New Roman"/>
        </w:rPr>
        <w:t xml:space="preserve"> centers on the spread of innovation through social systems over time, emphasizing the role of communication channels and peer influence.</w:t>
      </w:r>
    </w:p>
    <w:p w14:paraId="0DCEAEE0" w14:textId="77777777" w:rsidR="00BC0294" w:rsidRPr="004E3E88" w:rsidRDefault="00BC0294" w:rsidP="00BC0294">
      <w:pPr>
        <w:numPr>
          <w:ilvl w:val="0"/>
          <w:numId w:val="1"/>
        </w:numPr>
        <w:jc w:val="both"/>
        <w:rPr>
          <w:rFonts w:ascii="Times New Roman" w:eastAsia="Times New Roman" w:hAnsi="Times New Roman" w:cs="Times New Roman"/>
        </w:rPr>
      </w:pPr>
      <w:r w:rsidRPr="24FFB1BF">
        <w:rPr>
          <w:rFonts w:ascii="Times New Roman" w:eastAsia="Times New Roman" w:hAnsi="Times New Roman" w:cs="Times New Roman"/>
          <w:i/>
          <w:iCs/>
        </w:rPr>
        <w:lastRenderedPageBreak/>
        <w:t>Implementation theory</w:t>
      </w:r>
      <w:r w:rsidRPr="24FFB1BF">
        <w:rPr>
          <w:rFonts w:ascii="Times New Roman" w:eastAsia="Times New Roman" w:hAnsi="Times New Roman" w:cs="Times New Roman"/>
        </w:rPr>
        <w:t xml:space="preserve"> examines how new knowledge or practices are adopted, routinized, or resisted in organizational settings, often emphasizing fidelity, authority, and power dynamics.</w:t>
      </w:r>
    </w:p>
    <w:p w14:paraId="4D178029" w14:textId="77777777" w:rsidR="00BC0294" w:rsidRPr="004E3E88" w:rsidRDefault="00BC0294" w:rsidP="00BC0294">
      <w:pPr>
        <w:numPr>
          <w:ilvl w:val="0"/>
          <w:numId w:val="1"/>
        </w:numPr>
        <w:jc w:val="both"/>
        <w:rPr>
          <w:rFonts w:ascii="Times New Roman" w:eastAsia="Times New Roman" w:hAnsi="Times New Roman" w:cs="Times New Roman"/>
        </w:rPr>
      </w:pPr>
      <w:r w:rsidRPr="24FFB1BF">
        <w:rPr>
          <w:rFonts w:ascii="Times New Roman" w:eastAsia="Times New Roman" w:hAnsi="Times New Roman" w:cs="Times New Roman"/>
          <w:i/>
          <w:iCs/>
        </w:rPr>
        <w:t>Transfer theory</w:t>
      </w:r>
      <w:r w:rsidRPr="24FFB1BF">
        <w:rPr>
          <w:rFonts w:ascii="Times New Roman" w:eastAsia="Times New Roman" w:hAnsi="Times New Roman" w:cs="Times New Roman"/>
        </w:rPr>
        <w:t xml:space="preserve"> draws attention to how knowledge adapts, or is reshaped, when it moves across contexts, highlighting issues of ownership, </w:t>
      </w:r>
      <w:proofErr w:type="gramStart"/>
      <w:r w:rsidRPr="24FFB1BF">
        <w:rPr>
          <w:rFonts w:ascii="Times New Roman" w:eastAsia="Times New Roman" w:hAnsi="Times New Roman" w:cs="Times New Roman"/>
        </w:rPr>
        <w:t>fit</w:t>
      </w:r>
      <w:proofErr w:type="gramEnd"/>
      <w:r w:rsidRPr="24FFB1BF">
        <w:rPr>
          <w:rFonts w:ascii="Times New Roman" w:eastAsia="Times New Roman" w:hAnsi="Times New Roman" w:cs="Times New Roman"/>
        </w:rPr>
        <w:t>, and meaning.</w:t>
      </w:r>
    </w:p>
    <w:p w14:paraId="199C89B7" w14:textId="77777777" w:rsidR="00BC0294" w:rsidRPr="004E3E88" w:rsidRDefault="00BC0294" w:rsidP="00BC0294">
      <w:pPr>
        <w:numPr>
          <w:ilvl w:val="0"/>
          <w:numId w:val="1"/>
        </w:numPr>
        <w:jc w:val="both"/>
        <w:rPr>
          <w:rFonts w:ascii="Times New Roman" w:eastAsia="Times New Roman" w:hAnsi="Times New Roman" w:cs="Times New Roman"/>
        </w:rPr>
      </w:pPr>
      <w:r w:rsidRPr="24FFB1BF">
        <w:rPr>
          <w:rFonts w:ascii="Times New Roman" w:eastAsia="Times New Roman" w:hAnsi="Times New Roman" w:cs="Times New Roman"/>
          <w:i/>
          <w:iCs/>
        </w:rPr>
        <w:t>Translation theory</w:t>
      </w:r>
      <w:r w:rsidRPr="24FFB1BF">
        <w:rPr>
          <w:rFonts w:ascii="Times New Roman" w:eastAsia="Times New Roman" w:hAnsi="Times New Roman" w:cs="Times New Roman"/>
        </w:rPr>
        <w:t xml:space="preserve"> explores how knowledge is reformulated into actionable terms for different audiences, underlining the co-construction of meaning between knowledge producers and users.</w:t>
      </w:r>
    </w:p>
    <w:p w14:paraId="255BE0FD"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By juxtaposing these theories, Ottoson demonstrates that knowledge does not travel in a vacuum; it is filtered through multiple layers of context, culture, power, and intention. This complexity is often overlooked when M&amp;E system strengthening focuses narrowly on production or dissemination. Instead, Ottoson urges evaluators to recognize that effective M&amp;E strengthening must account for diverse forms of knowledge movement, each shaped by different incentives, organizational structures, and interpersonal relationships.</w:t>
      </w:r>
    </w:p>
    <w:p w14:paraId="50D30388"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Her framework is especially valuable for system-level M&amp;E because it discourages a one-size-fits-all theory of change and instead supports a diagnostic approach: What kind of knowledge is being moved? To whom? Through what channels? For what purpose? How is it being interpreted? These questions allow evaluators to identify the most relevant mechanisms and interventions across varied settings.</w:t>
      </w:r>
    </w:p>
    <w:p w14:paraId="4A3B4608" w14:textId="77777777" w:rsidR="00BC0294" w:rsidRPr="004E3E88" w:rsidRDefault="00BC0294" w:rsidP="00BC0294">
      <w:pPr>
        <w:pStyle w:val="Heading3"/>
        <w:rPr>
          <w:rFonts w:ascii="Times New Roman" w:eastAsia="Times New Roman" w:hAnsi="Times New Roman" w:cs="Times New Roman"/>
        </w:rPr>
      </w:pPr>
      <w:r w:rsidRPr="24FFB1BF">
        <w:rPr>
          <w:rFonts w:ascii="Times New Roman" w:eastAsia="Times New Roman" w:hAnsi="Times New Roman" w:cs="Times New Roman"/>
        </w:rPr>
        <w:t>Capacity-Building Ecosystem Theory of Change (Stewart, 2015)</w:t>
      </w:r>
    </w:p>
    <w:p w14:paraId="5EFA81A3" w14:textId="77777777" w:rsidR="00BC0294" w:rsidRPr="00D97D6D"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Stewart (2015) proposes a people-centered, demand-led Theory of Change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for building the capacity of decision-makers to use research evidence, grounded in the governance, economic, and social realities of Southern Africa. Her framework reframes capacity building not as isolated skill development but as part of a broader system of incentives, organizational structures, and political context. The central insight is that individual capacity gains will not lead to meaningful or sustained evidence use unless embedded in institutional ecosystems that support and reinforce such behaviors.</w:t>
      </w:r>
    </w:p>
    <w:p w14:paraId="4B4C3729"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The theory identifies three interdependent elements necessary to foster evidence-informed decision-making: (1) accessible and relevant research, (2) decision-makers equipped with the motivation and skills to use that research, and (3) enabling environments that provide both the opportunity and expectation to act on evidence. Stewart underscores the importance of ‘pull’ factors – motivations and organizational demand for evidence – and stresses that M&amp;E system strengthening must go beyond supply-side activities like producing evaluations or training analysts.</w:t>
      </w:r>
    </w:p>
    <w:p w14:paraId="45ECFDC8"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Concrete interventions aligned with the theory include the integration of evidence use into human resource performance systems, formal mentorship programs, earmarked budget lines for </w:t>
      </w:r>
      <w:r w:rsidRPr="24FFB1BF">
        <w:rPr>
          <w:rFonts w:ascii="Times New Roman" w:eastAsia="Times New Roman" w:hAnsi="Times New Roman" w:cs="Times New Roman"/>
        </w:rPr>
        <w:lastRenderedPageBreak/>
        <w:t>evaluation, and organizational mandates that reward evidence-informed practice. These mechanisms help institutionalize evidence use as a routine component of decision-making, rather than a one-off or externally driven effort.</w:t>
      </w:r>
    </w:p>
    <w:p w14:paraId="2FD0ABFD"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Stewart also emphasizes the critical role of trust, co-production, and long-term partnerships between researchers and policy actors. Drawing on experiences from the Africa Evidence Network, the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xml:space="preserve"> reflects an explicit commitment to participatory approaches that are responsive to local power dynamics and political realities. These insights align with findings from broader literature on behavioral change and continuing professional development, which show that collaborative, sustained, and context-specific efforts yield better outcomes than standalone technical training.</w:t>
      </w:r>
    </w:p>
    <w:p w14:paraId="7362C394" w14:textId="743C6EB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This ecosystemic approach strengthens M&amp;E systems by ensuring that capacity development is not only aligned with institutional goals but embedded in a supportive culture that values evidence. Stewart’s contribution shifts the focus of system strengthening from episodic interventions to long-term institutional change.</w:t>
      </w:r>
    </w:p>
    <w:p w14:paraId="2EF5E739" w14:textId="77777777" w:rsidR="00BC0294" w:rsidRPr="004E3E88" w:rsidRDefault="00BC0294" w:rsidP="00BC0294">
      <w:pPr>
        <w:pStyle w:val="Heading3"/>
        <w:rPr>
          <w:rFonts w:ascii="Times New Roman" w:eastAsia="Times New Roman" w:hAnsi="Times New Roman" w:cs="Times New Roman"/>
        </w:rPr>
      </w:pPr>
      <w:r w:rsidRPr="24FFB1BF">
        <w:rPr>
          <w:rFonts w:ascii="Times New Roman" w:eastAsia="Times New Roman" w:hAnsi="Times New Roman" w:cs="Times New Roman"/>
        </w:rPr>
        <w:t>Push–Pull–Exchange Mechanism (Yearwood, 2018)</w:t>
      </w:r>
    </w:p>
    <w:p w14:paraId="2AB44342"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Yearwood (2018) presents a Theory of Change grounded in the </w:t>
      </w:r>
      <w:proofErr w:type="spellStart"/>
      <w:r w:rsidRPr="24FFB1BF">
        <w:rPr>
          <w:rFonts w:ascii="Times New Roman" w:eastAsia="Times New Roman" w:hAnsi="Times New Roman" w:cs="Times New Roman"/>
        </w:rPr>
        <w:t>EvIDeNCe</w:t>
      </w:r>
      <w:proofErr w:type="spellEnd"/>
      <w:r w:rsidRPr="24FFB1BF">
        <w:rPr>
          <w:rFonts w:ascii="Times New Roman" w:eastAsia="Times New Roman" w:hAnsi="Times New Roman" w:cs="Times New Roman"/>
        </w:rPr>
        <w:t xml:space="preserve"> initiative – an integrated regional effort led by the Caribbean Public Health Agency (CARPHA) to strengthen the uptake of research in health policymaking. This model blends three key mechanisms – push, pull, and exchange – into a coherent framework designed to close the persistent gap between research generation and policy action across diverse institutional contexts in the Caribbean.</w:t>
      </w:r>
    </w:p>
    <w:p w14:paraId="608514BD"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The ‘push’ component emphasizes the synthesis and dissemination of relevant research through tools such as evidence briefs, while the ‘pull’ dimension focuses on strengthening policymakers’ capacities to seek, appraise, and apply that evidence. The ‘exchange’ mechanism is arguably the most transformative: it refers to structured, repeated interactions between researchers and decision-makers through stakeholder dialogues, communities of practice, and joint governance bodies. These exchanges not only transfer knowledge but also build shared understanding, trust, and alignment around policy priorities.</w:t>
      </w:r>
    </w:p>
    <w:p w14:paraId="6C7987B9"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The </w:t>
      </w:r>
      <w:proofErr w:type="spellStart"/>
      <w:r w:rsidRPr="24FFB1BF">
        <w:rPr>
          <w:rFonts w:ascii="Times New Roman" w:eastAsia="Times New Roman" w:hAnsi="Times New Roman" w:cs="Times New Roman"/>
        </w:rPr>
        <w:t>EvIDeNCe</w:t>
      </w:r>
      <w:proofErr w:type="spellEnd"/>
      <w:r w:rsidRPr="24FFB1BF">
        <w:rPr>
          <w:rFonts w:ascii="Times New Roman" w:eastAsia="Times New Roman" w:hAnsi="Times New Roman" w:cs="Times New Roman"/>
        </w:rPr>
        <w:t xml:space="preserve"> initiative institutionalized these mechanisms through five interventions: (1) an online evidence portal, (2) production and distribution of evidence briefs, (3) stakeholder dialogues, (4) training workshops for policymakers, and (5) the envisioned creation of a regional community of practice. Although the fifth component was not fully realized due to resource constraints, the other elements were implemented and evaluated between 2014 and 2017.</w:t>
      </w:r>
    </w:p>
    <w:p w14:paraId="0D58C816" w14:textId="01384A0D"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Applying a scale based on the Theory of Planned Behavior, Yearwood</w:t>
      </w:r>
      <w:r w:rsidR="00FA091F">
        <w:rPr>
          <w:rFonts w:ascii="Times New Roman" w:eastAsia="Times New Roman" w:hAnsi="Times New Roman" w:cs="Times New Roman"/>
        </w:rPr>
        <w:t xml:space="preserve"> </w:t>
      </w:r>
      <w:r w:rsidRPr="24FFB1BF">
        <w:rPr>
          <w:rFonts w:ascii="Times New Roman" w:eastAsia="Times New Roman" w:hAnsi="Times New Roman" w:cs="Times New Roman"/>
        </w:rPr>
        <w:t xml:space="preserve">'s evaluation found high levels of intent to use research evidence following participation in dialogues and trainings – mean scores exceeded 6.3 on a 7-point scale, corresponding to strong agreement. Though stated intent is not the same as </w:t>
      </w:r>
      <w:proofErr w:type="gramStart"/>
      <w:r w:rsidRPr="24FFB1BF">
        <w:rPr>
          <w:rFonts w:ascii="Times New Roman" w:eastAsia="Times New Roman" w:hAnsi="Times New Roman" w:cs="Times New Roman"/>
        </w:rPr>
        <w:t>actually using</w:t>
      </w:r>
      <w:proofErr w:type="gramEnd"/>
      <w:r w:rsidRPr="24FFB1BF">
        <w:rPr>
          <w:rFonts w:ascii="Times New Roman" w:eastAsia="Times New Roman" w:hAnsi="Times New Roman" w:cs="Times New Roman"/>
        </w:rPr>
        <w:t xml:space="preserve"> evidence, these findings offer preliminary support for the potential value of interactive </w:t>
      </w:r>
      <w:proofErr w:type="gramStart"/>
      <w:r w:rsidRPr="24FFB1BF">
        <w:rPr>
          <w:rFonts w:ascii="Times New Roman" w:eastAsia="Times New Roman" w:hAnsi="Times New Roman" w:cs="Times New Roman"/>
        </w:rPr>
        <w:t>engagement  to</w:t>
      </w:r>
      <w:proofErr w:type="gramEnd"/>
      <w:r w:rsidRPr="24FFB1BF">
        <w:rPr>
          <w:rFonts w:ascii="Times New Roman" w:eastAsia="Times New Roman" w:hAnsi="Times New Roman" w:cs="Times New Roman"/>
        </w:rPr>
        <w:t xml:space="preserve"> enhance uptake. Moreover, the model’s backward-mapped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xml:space="preserve"> </w:t>
      </w:r>
      <w:r w:rsidRPr="24FFB1BF">
        <w:rPr>
          <w:rFonts w:ascii="Times New Roman" w:eastAsia="Times New Roman" w:hAnsi="Times New Roman" w:cs="Times New Roman"/>
        </w:rPr>
        <w:lastRenderedPageBreak/>
        <w:t>explicitly aligns interventions with long-term goals, preconditions, and context-specific barriers, such as limited access to literature, weak institutional incentives, and a mismatch between research outputs and policy needs.</w:t>
      </w:r>
    </w:p>
    <w:p w14:paraId="22009B7B"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Importantly, this model illustrates that strengthening M&amp;E systems is not just about data production or technical platforms, but about creating infrastructures for interaction, shared governance, and political legitimacy. CARPHA’s role in anchoring and coordinating such efforts across 24 Caribbean countries demonstrates how regional bodies can catalyze institutional reforms and embed evidence practices within national policymaking processes.</w:t>
      </w:r>
    </w:p>
    <w:p w14:paraId="0C598CF6" w14:textId="77777777" w:rsidR="00BC0294" w:rsidRPr="004E3E88" w:rsidRDefault="00BC0294" w:rsidP="00BC0294">
      <w:pPr>
        <w:pStyle w:val="Heading2"/>
        <w:rPr>
          <w:rFonts w:ascii="Times New Roman" w:eastAsia="Times New Roman" w:hAnsi="Times New Roman" w:cs="Times New Roman"/>
        </w:rPr>
      </w:pPr>
      <w:r w:rsidRPr="24FFB1BF">
        <w:rPr>
          <w:rFonts w:ascii="Times New Roman" w:eastAsia="Times New Roman" w:hAnsi="Times New Roman" w:cs="Times New Roman"/>
        </w:rPr>
        <w:t>Mechanisms and Pathways Across Contexts</w:t>
      </w:r>
    </w:p>
    <w:p w14:paraId="62817396"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Despite their distinct conceptual origins, the reviewed frameworks converge around a set of interlocking mechanisms through which M&amp;E system strengthening is expected to foster the use of evaluative evidence. These mechanisms are best understood not as discrete channels but as interacting layers that reinforce or constrain each other, depending on the political, institutional, and relational context.</w:t>
      </w:r>
    </w:p>
    <w:p w14:paraId="1B3C2081" w14:textId="77777777"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i/>
          <w:iCs/>
        </w:rPr>
        <w:t>Supply-side mechanisms</w:t>
      </w:r>
      <w:r w:rsidRPr="24FFB1BF">
        <w:rPr>
          <w:rFonts w:ascii="Times New Roman" w:eastAsia="Times New Roman" w:hAnsi="Times New Roman" w:cs="Times New Roman"/>
        </w:rPr>
        <w:t xml:space="preserve"> focus on improving the availability, quality, and usability of evidence. Across frameworks, this includes efforts such as upgrading data systems, producing tailored evidence briefs, establishing interagency portals (Ottoson, 2009; Yearwood, 2018), and harmonizing indicator sets across networks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These interventions aim to ensure that credible and policy-relevant information exists and is accessible when needed – yet the assumption that “better supply equals better use” is widely challenged.</w:t>
      </w:r>
    </w:p>
    <w:p w14:paraId="6CB7B4A0" w14:textId="77777777"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i/>
          <w:iCs/>
        </w:rPr>
        <w:t>Demand-side mechanisms</w:t>
      </w:r>
      <w:r w:rsidRPr="24FFB1BF">
        <w:rPr>
          <w:rFonts w:ascii="Times New Roman" w:eastAsia="Times New Roman" w:hAnsi="Times New Roman" w:cs="Times New Roman"/>
        </w:rPr>
        <w:t xml:space="preserve"> aim to build </w:t>
      </w:r>
      <w:proofErr w:type="gramStart"/>
      <w:r w:rsidRPr="24FFB1BF">
        <w:rPr>
          <w:rFonts w:ascii="Times New Roman" w:eastAsia="Times New Roman" w:hAnsi="Times New Roman" w:cs="Times New Roman"/>
        </w:rPr>
        <w:t>the motivation</w:t>
      </w:r>
      <w:proofErr w:type="gramEnd"/>
      <w:r w:rsidRPr="24FFB1BF">
        <w:rPr>
          <w:rFonts w:ascii="Times New Roman" w:eastAsia="Times New Roman" w:hAnsi="Times New Roman" w:cs="Times New Roman"/>
        </w:rPr>
        <w:t xml:space="preserve">, skills, and institutional incentives to seek and apply evidence. Stewart (2015) emphasizes that evidence use must be institutionally rewarded – through HR systems, budget allocations, and leadership mandates – to become routine. Similarly, frameworks by King &amp;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(2018) and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underscore how political salience, cultural alignment, and organizational readiness condition whether actors even perceive evidence as valuable.</w:t>
      </w:r>
    </w:p>
    <w:p w14:paraId="5E994E11"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i/>
          <w:iCs/>
        </w:rPr>
        <w:t>Interactive mechanisms</w:t>
      </w:r>
      <w:r w:rsidRPr="24FFB1BF">
        <w:rPr>
          <w:rFonts w:ascii="Times New Roman" w:eastAsia="Times New Roman" w:hAnsi="Times New Roman" w:cs="Times New Roman"/>
        </w:rPr>
        <w:t xml:space="preserve"> connect supply and demand through dialogic, iterative relationships. These include stakeholder dialogues (Yearwood, 2018), mentorship networks (Stewart, 2015), and co-productive spaces for agenda-setting and sensemaking (Ottoson, 2009). Crucially, such spaces are not neutral – they require governance rules, trust, and shared epistemic frameworks to be effective. Network charters, peer-review mechanisms, and Secretariat facilitation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help institutionalize these exchanges and legitimize the resulting knowledge.</w:t>
      </w:r>
    </w:p>
    <w:p w14:paraId="3A54CA67"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The reviewed theories collectively show that interventions often span multiple mechanisms. For instance, a capacity-building workshop may enhance demand (by building skills), improve supply (by refining communication of findings), and foster interaction (by creating a peer network). These multi-mechanism interventions activate virtuous cycles, where each success strengthens the </w:t>
      </w:r>
      <w:proofErr w:type="gramStart"/>
      <w:r w:rsidRPr="24FFB1BF">
        <w:rPr>
          <w:rFonts w:ascii="Times New Roman" w:eastAsia="Times New Roman" w:hAnsi="Times New Roman" w:cs="Times New Roman"/>
        </w:rPr>
        <w:t>next</w:t>
      </w:r>
      <w:proofErr w:type="gramEnd"/>
      <w:r w:rsidRPr="24FFB1BF">
        <w:rPr>
          <w:rFonts w:ascii="Times New Roman" w:eastAsia="Times New Roman" w:hAnsi="Times New Roman" w:cs="Times New Roman"/>
        </w:rPr>
        <w:t xml:space="preserve">: </w:t>
      </w:r>
      <w:r w:rsidRPr="24FFB1BF">
        <w:rPr>
          <w:rFonts w:ascii="Times New Roman" w:eastAsia="Times New Roman" w:hAnsi="Times New Roman" w:cs="Times New Roman"/>
        </w:rPr>
        <w:lastRenderedPageBreak/>
        <w:t>credible outputs raise demand, stronger demand spurs better evidence, and sustained engagement normalizes use.</w:t>
      </w:r>
    </w:p>
    <w:p w14:paraId="61E59E4B" w14:textId="77777777" w:rsidR="00BC0294" w:rsidRPr="005B5149" w:rsidRDefault="00BC0294" w:rsidP="00BC0294">
      <w:pPr>
        <w:jc w:val="both"/>
        <w:rPr>
          <w:rFonts w:ascii="Times New Roman" w:eastAsia="Times New Roman" w:hAnsi="Times New Roman" w:cs="Times New Roman"/>
        </w:rPr>
      </w:pPr>
      <w:proofErr w:type="gramStart"/>
      <w:r w:rsidRPr="24FFB1BF">
        <w:rPr>
          <w:rFonts w:ascii="Times New Roman" w:eastAsia="Times New Roman" w:hAnsi="Times New Roman" w:cs="Times New Roman"/>
        </w:rPr>
        <w:t>This systems</w:t>
      </w:r>
      <w:proofErr w:type="gramEnd"/>
      <w:r w:rsidRPr="24FFB1BF">
        <w:rPr>
          <w:rFonts w:ascii="Times New Roman" w:eastAsia="Times New Roman" w:hAnsi="Times New Roman" w:cs="Times New Roman"/>
        </w:rPr>
        <w:t xml:space="preserve"> view of mechanisms also draws attention to negative feedback loops and absorptive limits. Poorly contextualized training may generate cynicism. An oversupply of unrequested studies may erode trust. These risks underscore the value of diagnostic approaches – like Ottoson’s (2009) composite lens or King and </w:t>
      </w:r>
      <w:proofErr w:type="spellStart"/>
      <w:r w:rsidRPr="24FFB1BF">
        <w:rPr>
          <w:rFonts w:ascii="Times New Roman" w:eastAsia="Times New Roman" w:hAnsi="Times New Roman" w:cs="Times New Roman"/>
        </w:rPr>
        <w:t>Alkin’s</w:t>
      </w:r>
      <w:proofErr w:type="spellEnd"/>
      <w:r w:rsidRPr="24FFB1BF">
        <w:rPr>
          <w:rFonts w:ascii="Times New Roman" w:eastAsia="Times New Roman" w:hAnsi="Times New Roman" w:cs="Times New Roman"/>
        </w:rPr>
        <w:t xml:space="preserve"> multilevel schema – that help identify the mechanisms most likely to succeed under </w:t>
      </w:r>
      <w:proofErr w:type="gramStart"/>
      <w:r w:rsidRPr="24FFB1BF">
        <w:rPr>
          <w:rFonts w:ascii="Times New Roman" w:eastAsia="Times New Roman" w:hAnsi="Times New Roman" w:cs="Times New Roman"/>
        </w:rPr>
        <w:t>particular conditions</w:t>
      </w:r>
      <w:proofErr w:type="gramEnd"/>
      <w:r w:rsidRPr="24FFB1BF">
        <w:rPr>
          <w:rFonts w:ascii="Times New Roman" w:eastAsia="Times New Roman" w:hAnsi="Times New Roman" w:cs="Times New Roman"/>
        </w:rPr>
        <w:t>.</w:t>
      </w:r>
    </w:p>
    <w:p w14:paraId="40F68B06"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Ultimately, sustainable evidence use requires not just mechanism alignment, but system coherence. Strengthened M&amp;E systems work best when interventions are layered strategically, adapted to context, and anchored in shared rules and incentives.</w:t>
      </w:r>
    </w:p>
    <w:p w14:paraId="4D402E9C" w14:textId="77777777" w:rsidR="00BC0294" w:rsidRPr="004E3E88" w:rsidRDefault="00BC0294" w:rsidP="00BC0294">
      <w:pPr>
        <w:pStyle w:val="Heading2"/>
        <w:rPr>
          <w:rFonts w:ascii="Times New Roman" w:eastAsia="Times New Roman" w:hAnsi="Times New Roman" w:cs="Times New Roman"/>
        </w:rPr>
      </w:pPr>
      <w:r w:rsidRPr="24FFB1BF">
        <w:rPr>
          <w:rFonts w:ascii="Times New Roman" w:eastAsia="Times New Roman" w:hAnsi="Times New Roman" w:cs="Times New Roman"/>
        </w:rPr>
        <w:t>Cross-Cutting Insights and Synthesis</w:t>
      </w:r>
    </w:p>
    <w:p w14:paraId="3248F0D0"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Across the five frameworks analyzed, several cross-cutting themes emerge that illuminate the conditions under which M&amp;E system-strengthening interventions are most likely to generate sustainable demand, supply, and use of evaluative evidence. While each theory foregrounds different actors, pathways, or institutional configurations, their convergence around key enablers and risks underscores the importance of a systems-oriented approach.</w:t>
      </w:r>
    </w:p>
    <w:p w14:paraId="334B22BF" w14:textId="77777777" w:rsidR="00BC0294" w:rsidRPr="004E3E88" w:rsidRDefault="00BC0294" w:rsidP="00BC0294">
      <w:pPr>
        <w:rPr>
          <w:rFonts w:ascii="Times New Roman" w:eastAsia="Times New Roman" w:hAnsi="Times New Roman" w:cs="Times New Roman"/>
        </w:rPr>
      </w:pPr>
      <w:r w:rsidRPr="24FFB1BF">
        <w:rPr>
          <w:rFonts w:ascii="Times New Roman" w:eastAsia="Times New Roman" w:hAnsi="Times New Roman" w:cs="Times New Roman"/>
          <w:b/>
          <w:bCs/>
        </w:rPr>
        <w:t>1. Organizational and Political Culture</w:t>
      </w:r>
    </w:p>
    <w:p w14:paraId="6480C24A" w14:textId="77777777"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The presence of a learning-oriented culture – where experimentation, reflection, and iteration are normalized – is consistently cited as foundational. Stewart (2015) and Ottoson (2009) stress that without an enabling environment, even the best-trained staff are unlikely to use evidence. Similarly,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show how the internalization of evidence values across a network (e.g., through peer learning, shared tools, and mutual accountability) shapes the durability of reforms.</w:t>
      </w:r>
    </w:p>
    <w:p w14:paraId="3AAA86F8" w14:textId="77777777" w:rsidR="00BC0294" w:rsidRPr="004E3E88" w:rsidRDefault="00BC0294" w:rsidP="00BC0294">
      <w:pPr>
        <w:rPr>
          <w:rFonts w:ascii="Times New Roman" w:eastAsia="Times New Roman" w:hAnsi="Times New Roman" w:cs="Times New Roman"/>
        </w:rPr>
      </w:pPr>
      <w:r w:rsidRPr="24FFB1BF">
        <w:rPr>
          <w:rFonts w:ascii="Times New Roman" w:eastAsia="Times New Roman" w:hAnsi="Times New Roman" w:cs="Times New Roman"/>
          <w:b/>
          <w:bCs/>
        </w:rPr>
        <w:t>2. Governance and Institutionalization</w:t>
      </w:r>
    </w:p>
    <w:p w14:paraId="3B08BC20" w14:textId="77777777"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All frameworks emphasize that technical improvements (e.g., data portals, evaluation briefs) must be embedded in formal governance arrangements and institutional mandates to endure. These include codified roles for M&amp;E units, integration of evidence standards into national planning systems, and Secretariat-facilitated peer review mechanisms (Yearwood, 2018;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King and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(2018) go further to suggest that system-level influence hinges on such institutional codification, which transforms isolated use into collective, routinized influence.</w:t>
      </w:r>
    </w:p>
    <w:p w14:paraId="5925DDE8" w14:textId="77777777" w:rsidR="00BC0294" w:rsidRPr="004E3E88" w:rsidRDefault="00BC0294" w:rsidP="00BC0294">
      <w:pPr>
        <w:rPr>
          <w:rFonts w:ascii="Times New Roman" w:eastAsia="Times New Roman" w:hAnsi="Times New Roman" w:cs="Times New Roman"/>
        </w:rPr>
      </w:pPr>
      <w:r w:rsidRPr="24FFB1BF">
        <w:rPr>
          <w:rFonts w:ascii="Times New Roman" w:eastAsia="Times New Roman" w:hAnsi="Times New Roman" w:cs="Times New Roman"/>
          <w:b/>
          <w:bCs/>
        </w:rPr>
        <w:t>3. Relational Infrastructure and Trust</w:t>
      </w:r>
    </w:p>
    <w:p w14:paraId="1CBEF5A9" w14:textId="25120221"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Effective knowledge exchange depends on more than tools or training; it hinges on relationships. Yearwood (2018) and Stewart (2015) both highlight how communities of practice, stakeholder dialogues, and sustained mentorship can build mutual trust and legitimacy. Ottoson</w:t>
      </w:r>
      <w:r w:rsidR="00FB2FDB">
        <w:rPr>
          <w:rFonts w:ascii="Times New Roman" w:eastAsia="Times New Roman" w:hAnsi="Times New Roman" w:cs="Times New Roman"/>
        </w:rPr>
        <w:t xml:space="preserve"> </w:t>
      </w:r>
      <w:r w:rsidRPr="24FFB1BF">
        <w:rPr>
          <w:rFonts w:ascii="Times New Roman" w:eastAsia="Times New Roman" w:hAnsi="Times New Roman" w:cs="Times New Roman"/>
        </w:rPr>
        <w:t xml:space="preserve">’s (2009) </w:t>
      </w:r>
      <w:r w:rsidRPr="24FFB1BF">
        <w:rPr>
          <w:rFonts w:ascii="Times New Roman" w:eastAsia="Times New Roman" w:hAnsi="Times New Roman" w:cs="Times New Roman"/>
        </w:rPr>
        <w:lastRenderedPageBreak/>
        <w:t>diffusion and translation theories likewise emphasize the role of networks, champions, and co-constructed meanings in spreading and sustaining evidence-informed practices.</w:t>
      </w:r>
    </w:p>
    <w:p w14:paraId="64E308D8" w14:textId="77777777" w:rsidR="00BC0294" w:rsidRPr="004E3E88" w:rsidRDefault="00BC0294" w:rsidP="00BC0294">
      <w:pPr>
        <w:rPr>
          <w:rFonts w:ascii="Times New Roman" w:eastAsia="Times New Roman" w:hAnsi="Times New Roman" w:cs="Times New Roman"/>
        </w:rPr>
      </w:pPr>
      <w:r w:rsidRPr="24FFB1BF">
        <w:rPr>
          <w:rFonts w:ascii="Times New Roman" w:eastAsia="Times New Roman" w:hAnsi="Times New Roman" w:cs="Times New Roman"/>
          <w:b/>
          <w:bCs/>
        </w:rPr>
        <w:t>4. Fit-for-Context Design</w:t>
      </w:r>
    </w:p>
    <w:p w14:paraId="74D72600" w14:textId="29A1062E" w:rsidR="00BC0294" w:rsidRPr="004E3E88"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Each theory assumes, either implicitly or explicitly, that interventions must be adapted to contextual features like political stability, bureaucratic incentives, sectoral priorities, and local knowledge traditions. Stewart’s (2015) Southern African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xml:space="preserve"> explicitly incorporates poverty, inequality, and donor reliance into its logic, while </w:t>
      </w:r>
      <w:proofErr w:type="spellStart"/>
      <w:r w:rsidRPr="24FFB1BF">
        <w:rPr>
          <w:rFonts w:ascii="Times New Roman" w:eastAsia="Times New Roman" w:hAnsi="Times New Roman" w:cs="Times New Roman"/>
        </w:rPr>
        <w:t>Kuchenmüller’s</w:t>
      </w:r>
      <w:proofErr w:type="spellEnd"/>
      <w:r w:rsidRPr="24FFB1BF">
        <w:rPr>
          <w:rFonts w:ascii="Times New Roman" w:eastAsia="Times New Roman" w:hAnsi="Times New Roman" w:cs="Times New Roman"/>
        </w:rPr>
        <w:t xml:space="preserve"> (2022) network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xml:space="preserve"> acknowledges that KT systems evolve through different maturity phases, requiring varying forms of support.</w:t>
      </w:r>
    </w:p>
    <w:p w14:paraId="7CD9BE8A" w14:textId="77777777" w:rsidR="00BC0294" w:rsidRPr="004E3E88" w:rsidRDefault="00BC0294" w:rsidP="00BC0294">
      <w:pPr>
        <w:rPr>
          <w:rFonts w:ascii="Times New Roman" w:eastAsia="Times New Roman" w:hAnsi="Times New Roman" w:cs="Times New Roman"/>
        </w:rPr>
      </w:pPr>
      <w:r w:rsidRPr="24FFB1BF">
        <w:rPr>
          <w:rFonts w:ascii="Times New Roman" w:eastAsia="Times New Roman" w:hAnsi="Times New Roman" w:cs="Times New Roman"/>
          <w:b/>
          <w:bCs/>
        </w:rPr>
        <w:t>5. Time Horizons and Evaluation Focus</w:t>
      </w:r>
    </w:p>
    <w:p w14:paraId="486FADBE"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Several models caution against overly narrow or short-term conceptions of success. Kirkhart’s long-term influence model (via King &amp;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2018) and Yearwood’s backward-mapped </w:t>
      </w:r>
      <w:proofErr w:type="spellStart"/>
      <w:r w:rsidRPr="24FFB1BF">
        <w:rPr>
          <w:rFonts w:ascii="Times New Roman" w:eastAsia="Times New Roman" w:hAnsi="Times New Roman" w:cs="Times New Roman"/>
        </w:rPr>
        <w:t>ToC</w:t>
      </w:r>
      <w:proofErr w:type="spellEnd"/>
      <w:r w:rsidRPr="24FFB1BF">
        <w:rPr>
          <w:rFonts w:ascii="Times New Roman" w:eastAsia="Times New Roman" w:hAnsi="Times New Roman" w:cs="Times New Roman"/>
        </w:rPr>
        <w:t xml:space="preserve"> both encourage planners to anticipate distal, indirect effects. This includes shifting attitudes, procedural changes, or political repositioning – outcomes that matter, even if not easily captured in typical results frameworks.</w:t>
      </w:r>
    </w:p>
    <w:p w14:paraId="7F69245E" w14:textId="77777777" w:rsidR="00BC0294" w:rsidRPr="004E3E88" w:rsidRDefault="00BC0294" w:rsidP="00BC0294">
      <w:pPr>
        <w:jc w:val="both"/>
        <w:rPr>
          <w:rFonts w:ascii="Times New Roman" w:eastAsia="Times New Roman" w:hAnsi="Times New Roman" w:cs="Times New Roman"/>
          <w:b/>
          <w:bCs/>
        </w:rPr>
      </w:pPr>
      <w:r w:rsidRPr="24FFB1BF">
        <w:rPr>
          <w:rFonts w:ascii="Times New Roman" w:eastAsia="Times New Roman" w:hAnsi="Times New Roman" w:cs="Times New Roman"/>
          <w:b/>
          <w:bCs/>
        </w:rPr>
        <w:t>6. Conceptual Precision and Theoretical Pluralism</w:t>
      </w:r>
    </w:p>
    <w:p w14:paraId="7FA51BE3"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Ottoson (2009) contributes a crucial insight by refusing to collapse diverse theories into a single use model. Her five-lens framework reminds evaluators that different settings may require different conceptual tools: what counts as “use” or “success” in one space (e.g., uptake of briefs) may look entirely different in another (e.g., altered funding flows or rhetorical shifts). This conceptual pluralism supports more context-sensitive, fit-for-purpose theories of change.</w:t>
      </w:r>
    </w:p>
    <w:p w14:paraId="7C2BC979"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Together, these insights underscore the central argument of this review: M&amp;E system-strengthening efforts are not linear delivery programs but political, relational, and adaptive systems-change processes. They require a shift in mindset from disseminating products to reconfiguring institutional environments and a toolbox of integrated, flexible strategies guided by sound theory and grounded in context.</w:t>
      </w:r>
    </w:p>
    <w:p w14:paraId="36DD2A75" w14:textId="77777777" w:rsidR="00BC0294" w:rsidRPr="004E3E88" w:rsidRDefault="00BC0294" w:rsidP="00BC0294">
      <w:pPr>
        <w:pStyle w:val="Heading2"/>
        <w:rPr>
          <w:rFonts w:ascii="Times New Roman" w:eastAsia="Times New Roman" w:hAnsi="Times New Roman" w:cs="Times New Roman"/>
        </w:rPr>
      </w:pPr>
      <w:r w:rsidRPr="24FFB1BF">
        <w:rPr>
          <w:rFonts w:ascii="Times New Roman" w:eastAsia="Times New Roman" w:hAnsi="Times New Roman" w:cs="Times New Roman"/>
        </w:rPr>
        <w:t>Conclusion</w:t>
      </w:r>
    </w:p>
    <w:p w14:paraId="5DB29BF3"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Theories of Change linking M&amp;E system strengthening to evidence use converge on a shared insight: sustainable uptake of evaluative evidence depends on more than technical fixes. It requires a systems approach that combines capacity-building, governance reform, knowledge brokering, and cultural change. This synthesis highlights that efforts to improve evidence use must target not only the production of data or reports, but also the environments in which knowledge is generated, interpreted, and acted upon.</w:t>
      </w:r>
    </w:p>
    <w:p w14:paraId="2815A420"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Successful M&amp;E strengthening interventions operate across multiple levels – shaping individual skills, team norms, organizational mandates, and policy networks. They embed evidence in HR </w:t>
      </w:r>
      <w:r w:rsidRPr="24FFB1BF">
        <w:rPr>
          <w:rFonts w:ascii="Times New Roman" w:eastAsia="Times New Roman" w:hAnsi="Times New Roman" w:cs="Times New Roman"/>
        </w:rPr>
        <w:lastRenderedPageBreak/>
        <w:t>systems, planning protocols, and decision routines. They build peer learning structures, mutual accountability mechanisms, and trust-based partnerships between researchers and decision-makers.</w:t>
      </w:r>
    </w:p>
    <w:p w14:paraId="61463A36" w14:textId="77777777" w:rsidR="00BC0294" w:rsidRPr="005B5149" w:rsidRDefault="00BC0294" w:rsidP="00BC0294">
      <w:pPr>
        <w:jc w:val="both"/>
        <w:rPr>
          <w:rFonts w:ascii="Times New Roman" w:eastAsia="Times New Roman" w:hAnsi="Times New Roman" w:cs="Times New Roman"/>
        </w:rPr>
      </w:pPr>
      <w:r w:rsidRPr="24FFB1BF">
        <w:rPr>
          <w:rFonts w:ascii="Times New Roman" w:eastAsia="Times New Roman" w:hAnsi="Times New Roman" w:cs="Times New Roman"/>
        </w:rPr>
        <w:t xml:space="preserve">Future research should trace these </w:t>
      </w:r>
      <w:proofErr w:type="spellStart"/>
      <w:r w:rsidRPr="24FFB1BF">
        <w:rPr>
          <w:rFonts w:ascii="Times New Roman" w:eastAsia="Times New Roman" w:hAnsi="Times New Roman" w:cs="Times New Roman"/>
        </w:rPr>
        <w:t>ToCs</w:t>
      </w:r>
      <w:proofErr w:type="spellEnd"/>
      <w:r w:rsidRPr="24FFB1BF">
        <w:rPr>
          <w:rFonts w:ascii="Times New Roman" w:eastAsia="Times New Roman" w:hAnsi="Times New Roman" w:cs="Times New Roman"/>
        </w:rPr>
        <w:t xml:space="preserve"> longitudinally and comparatively across diverse governance settings. Greater attention to feedback loops, absorptive capacity, political incentives, and contextual alignment will help refine causal assumptions and strengthen the design of interventions. Theories of change are not blueprints but learning tools and refining them is essential for ensuring M&amp;E investments translate into real-world impact.</w:t>
      </w:r>
    </w:p>
    <w:p w14:paraId="5E341A9C" w14:textId="77777777" w:rsidR="00BC0294" w:rsidRPr="004E3E88" w:rsidRDefault="00BC0294" w:rsidP="00BC0294">
      <w:pPr>
        <w:rPr>
          <w:rFonts w:ascii="Times New Roman" w:eastAsia="Times New Roman" w:hAnsi="Times New Roman" w:cs="Times New Roman"/>
          <w:color w:val="002060"/>
          <w:sz w:val="32"/>
          <w:szCs w:val="32"/>
        </w:rPr>
      </w:pPr>
      <w:r w:rsidRPr="24FFB1BF">
        <w:rPr>
          <w:rFonts w:ascii="Times New Roman" w:eastAsia="Times New Roman" w:hAnsi="Times New Roman" w:cs="Times New Roman"/>
        </w:rPr>
        <w:br w:type="page"/>
      </w:r>
    </w:p>
    <w:p w14:paraId="0FEDA938" w14:textId="77777777" w:rsidR="00BC0294" w:rsidRPr="004E3E88" w:rsidRDefault="00BC0294" w:rsidP="00BC0294">
      <w:pPr>
        <w:pStyle w:val="Heading2"/>
        <w:spacing w:line="480" w:lineRule="auto"/>
        <w:jc w:val="center"/>
        <w:rPr>
          <w:rFonts w:ascii="Times New Roman" w:eastAsia="Times New Roman" w:hAnsi="Times New Roman" w:cs="Times New Roman"/>
          <w:b/>
          <w:bCs/>
          <w:color w:val="auto"/>
          <w:sz w:val="28"/>
          <w:szCs w:val="28"/>
        </w:rPr>
      </w:pPr>
      <w:r w:rsidRPr="24FFB1BF">
        <w:rPr>
          <w:rFonts w:ascii="Times New Roman" w:eastAsia="Times New Roman" w:hAnsi="Times New Roman" w:cs="Times New Roman"/>
          <w:b/>
          <w:bCs/>
          <w:color w:val="auto"/>
          <w:sz w:val="28"/>
          <w:szCs w:val="28"/>
        </w:rPr>
        <w:lastRenderedPageBreak/>
        <w:t>References</w:t>
      </w:r>
    </w:p>
    <w:p w14:paraId="2B8174F4" w14:textId="77777777" w:rsidR="00BC0294" w:rsidRPr="004E3E88" w:rsidRDefault="00BC0294" w:rsidP="00BC0294">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King, J. A., &amp;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M. C. (2018). The centrality of use: Theories of evaluation use and influence and thoughts on the first 50 years of use research. </w:t>
      </w:r>
      <w:r w:rsidRPr="24FFB1BF">
        <w:rPr>
          <w:rFonts w:ascii="Times New Roman" w:eastAsia="Times New Roman" w:hAnsi="Times New Roman" w:cs="Times New Roman"/>
          <w:i/>
          <w:iCs/>
        </w:rPr>
        <w:t>American Journal of Evaluation, 40</w:t>
      </w:r>
      <w:r w:rsidRPr="24FFB1BF">
        <w:rPr>
          <w:rFonts w:ascii="Times New Roman" w:eastAsia="Times New Roman" w:hAnsi="Times New Roman" w:cs="Times New Roman"/>
        </w:rPr>
        <w:t xml:space="preserve">(3), 431–458. </w:t>
      </w:r>
      <w:hyperlink r:id="rId5">
        <w:r w:rsidRPr="24FFB1BF">
          <w:rPr>
            <w:rStyle w:val="Hyperlink"/>
            <w:rFonts w:ascii="Times New Roman" w:eastAsia="Times New Roman" w:hAnsi="Times New Roman" w:cs="Times New Roman"/>
          </w:rPr>
          <w:t>https://doi.org/10.1177/1098214018796328</w:t>
        </w:r>
      </w:hyperlink>
    </w:p>
    <w:p w14:paraId="2070838B" w14:textId="77777777" w:rsidR="00BC0294" w:rsidRPr="004E3E88" w:rsidRDefault="00BC0294" w:rsidP="00BC0294">
      <w:pPr>
        <w:spacing w:after="0" w:line="480" w:lineRule="auto"/>
        <w:ind w:left="720" w:hanging="720"/>
        <w:rPr>
          <w:rFonts w:ascii="Times New Roman" w:eastAsia="Times New Roman" w:hAnsi="Times New Roman" w:cs="Times New Roman"/>
        </w:rPr>
      </w:pPr>
      <w:r w:rsidRPr="00080131">
        <w:rPr>
          <w:rFonts w:ascii="Times New Roman" w:eastAsia="Times New Roman" w:hAnsi="Times New Roman" w:cs="Times New Roman"/>
          <w:highlight w:val="yellow"/>
        </w:rPr>
        <w:t xml:space="preserve">Kirkhart, K. E. (2000). Reconceptualizing evaluation use: An integrated theory of influence. </w:t>
      </w:r>
      <w:r w:rsidRPr="00080131">
        <w:rPr>
          <w:rFonts w:ascii="Times New Roman" w:eastAsia="Times New Roman" w:hAnsi="Times New Roman" w:cs="Times New Roman"/>
          <w:i/>
          <w:iCs/>
          <w:highlight w:val="yellow"/>
        </w:rPr>
        <w:t>New Directions for Evaluation, 88</w:t>
      </w:r>
      <w:r w:rsidRPr="00080131">
        <w:rPr>
          <w:rFonts w:ascii="Times New Roman" w:eastAsia="Times New Roman" w:hAnsi="Times New Roman" w:cs="Times New Roman"/>
          <w:highlight w:val="yellow"/>
        </w:rPr>
        <w:t>, 5–23.</w:t>
      </w:r>
    </w:p>
    <w:p w14:paraId="1773293D" w14:textId="77777777" w:rsidR="00BC0294" w:rsidRPr="004E3E88" w:rsidRDefault="00BC0294" w:rsidP="00BC0294">
      <w:pPr>
        <w:spacing w:after="0" w:line="480" w:lineRule="auto"/>
        <w:ind w:left="720" w:hanging="720"/>
        <w:rPr>
          <w:rFonts w:ascii="Times New Roman" w:eastAsia="Times New Roman" w:hAnsi="Times New Roman" w:cs="Times New Roman"/>
        </w:rPr>
      </w:pP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T., Chapman, E., Takahashi, R., Lester, L., </w:t>
      </w:r>
      <w:proofErr w:type="spellStart"/>
      <w:r w:rsidRPr="24FFB1BF">
        <w:rPr>
          <w:rFonts w:ascii="Times New Roman" w:eastAsia="Times New Roman" w:hAnsi="Times New Roman" w:cs="Times New Roman"/>
        </w:rPr>
        <w:t>Reinap</w:t>
      </w:r>
      <w:proofErr w:type="spellEnd"/>
      <w:r w:rsidRPr="24FFB1BF">
        <w:rPr>
          <w:rFonts w:ascii="Times New Roman" w:eastAsia="Times New Roman" w:hAnsi="Times New Roman" w:cs="Times New Roman"/>
        </w:rPr>
        <w:t xml:space="preserve">, M., Ellen, M., &amp; Haby, M. M. (2022). A comprehensive monitoring and evaluation framework for evidence to policy networks. </w:t>
      </w:r>
      <w:r w:rsidRPr="24FFB1BF">
        <w:rPr>
          <w:rFonts w:ascii="Times New Roman" w:eastAsia="Times New Roman" w:hAnsi="Times New Roman" w:cs="Times New Roman"/>
          <w:i/>
          <w:iCs/>
        </w:rPr>
        <w:t>Evaluation and Program Planning, 91</w:t>
      </w:r>
      <w:r w:rsidRPr="24FFB1BF">
        <w:rPr>
          <w:rFonts w:ascii="Times New Roman" w:eastAsia="Times New Roman" w:hAnsi="Times New Roman" w:cs="Times New Roman"/>
        </w:rPr>
        <w:t xml:space="preserve">, 102053. </w:t>
      </w:r>
      <w:hyperlink r:id="rId6">
        <w:r w:rsidRPr="24FFB1BF">
          <w:rPr>
            <w:rStyle w:val="Hyperlink"/>
            <w:rFonts w:ascii="Times New Roman" w:eastAsia="Times New Roman" w:hAnsi="Times New Roman" w:cs="Times New Roman"/>
          </w:rPr>
          <w:t>https://doi.org/10.1016/j.evalprogplan.2022.102053</w:t>
        </w:r>
      </w:hyperlink>
    </w:p>
    <w:p w14:paraId="3801D669" w14:textId="77777777" w:rsidR="00BC0294" w:rsidRPr="004E3E88" w:rsidRDefault="00BC0294" w:rsidP="00BC0294">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Ottoson, J. M. (2009). Knowledge-for-action theories in evaluation: Knowledge utilization, diffusion, implementation, transfer, and translation. </w:t>
      </w:r>
      <w:r w:rsidRPr="24FFB1BF">
        <w:rPr>
          <w:rFonts w:ascii="Times New Roman" w:eastAsia="Times New Roman" w:hAnsi="Times New Roman" w:cs="Times New Roman"/>
          <w:i/>
          <w:iCs/>
        </w:rPr>
        <w:t>New Directions for Evaluation, 124</w:t>
      </w:r>
      <w:r w:rsidRPr="24FFB1BF">
        <w:rPr>
          <w:rFonts w:ascii="Times New Roman" w:eastAsia="Times New Roman" w:hAnsi="Times New Roman" w:cs="Times New Roman"/>
        </w:rPr>
        <w:t xml:space="preserve">, 7–20. </w:t>
      </w:r>
      <w:hyperlink r:id="rId7">
        <w:r w:rsidRPr="24FFB1BF">
          <w:rPr>
            <w:rStyle w:val="Hyperlink"/>
            <w:rFonts w:ascii="Times New Roman" w:eastAsia="Times New Roman" w:hAnsi="Times New Roman" w:cs="Times New Roman"/>
          </w:rPr>
          <w:t>https://doi.org/10.1002/ev.310</w:t>
        </w:r>
      </w:hyperlink>
    </w:p>
    <w:p w14:paraId="7680A68E" w14:textId="77777777" w:rsidR="00BC0294" w:rsidRDefault="00BC0294" w:rsidP="00BC0294">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Stewart, R. (2015). A theory of change for capacity building for the use of research evidence by decision makers in Southern Africa. </w:t>
      </w:r>
      <w:r w:rsidRPr="24FFB1BF">
        <w:rPr>
          <w:rFonts w:ascii="Times New Roman" w:eastAsia="Times New Roman" w:hAnsi="Times New Roman" w:cs="Times New Roman"/>
          <w:i/>
          <w:iCs/>
        </w:rPr>
        <w:t>Evidence &amp; Policy, 11</w:t>
      </w:r>
      <w:r w:rsidRPr="24FFB1BF">
        <w:rPr>
          <w:rFonts w:ascii="Times New Roman" w:eastAsia="Times New Roman" w:hAnsi="Times New Roman" w:cs="Times New Roman"/>
        </w:rPr>
        <w:t xml:space="preserve">(4), 547–557. </w:t>
      </w:r>
      <w:hyperlink r:id="rId8">
        <w:r w:rsidRPr="24FFB1BF">
          <w:rPr>
            <w:rStyle w:val="Hyperlink"/>
            <w:rFonts w:ascii="Times New Roman" w:eastAsia="Times New Roman" w:hAnsi="Times New Roman" w:cs="Times New Roman"/>
          </w:rPr>
          <w:t>https://doi.org/10.1332/174426414X1417545274793</w:t>
        </w:r>
      </w:hyperlink>
    </w:p>
    <w:p w14:paraId="05D41ABE" w14:textId="3C0A6991" w:rsidR="00E51E54" w:rsidRPr="00BC0294" w:rsidRDefault="00BC0294" w:rsidP="00BC0294">
      <w:pPr>
        <w:spacing w:after="0" w:line="480" w:lineRule="auto"/>
        <w:ind w:left="720" w:hanging="720"/>
        <w:rPr>
          <w:rFonts w:ascii="Times New Roman" w:eastAsia="Times New Roman" w:hAnsi="Times New Roman" w:cs="Times New Roman"/>
        </w:rPr>
      </w:pPr>
      <w:r w:rsidRPr="24FFB1BF">
        <w:rPr>
          <w:rFonts w:ascii="Times New Roman" w:eastAsia="Times New Roman" w:hAnsi="Times New Roman" w:cs="Times New Roman"/>
        </w:rPr>
        <w:t xml:space="preserve">Yearwood, A. C. (2018). Applying a logical theory of change for strengthening research uptake in policy: A case study of the Evidence Informed Decision Making Network of the Caribbean. </w:t>
      </w:r>
      <w:r w:rsidRPr="24FFB1BF">
        <w:rPr>
          <w:rFonts w:ascii="Times New Roman" w:eastAsia="Times New Roman" w:hAnsi="Times New Roman" w:cs="Times New Roman"/>
          <w:i/>
          <w:iCs/>
          <w:lang w:val="es-ES"/>
        </w:rPr>
        <w:t>Revista Panamericana de Salud Pública, 42</w:t>
      </w:r>
      <w:r w:rsidRPr="24FFB1BF">
        <w:rPr>
          <w:rFonts w:ascii="Times New Roman" w:eastAsia="Times New Roman" w:hAnsi="Times New Roman" w:cs="Times New Roman"/>
          <w:lang w:val="es-ES"/>
        </w:rPr>
        <w:t xml:space="preserve">, e91. </w:t>
      </w:r>
      <w:hyperlink r:id="rId9">
        <w:r w:rsidRPr="24FFB1BF">
          <w:rPr>
            <w:rStyle w:val="Hyperlink"/>
            <w:rFonts w:ascii="Times New Roman" w:eastAsia="Times New Roman" w:hAnsi="Times New Roman" w:cs="Times New Roman"/>
            <w:lang w:val="es-ES"/>
          </w:rPr>
          <w:t>https://doi.org/10.26633/RPSP.2018.91</w:t>
        </w:r>
      </w:hyperlink>
    </w:p>
    <w:sectPr w:rsidR="00E51E54" w:rsidRPr="00BC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B50F5"/>
    <w:multiLevelType w:val="multilevel"/>
    <w:tmpl w:val="28E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5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94"/>
    <w:rsid w:val="00017F58"/>
    <w:rsid w:val="002659A8"/>
    <w:rsid w:val="002A5E48"/>
    <w:rsid w:val="002D60AF"/>
    <w:rsid w:val="00353FF4"/>
    <w:rsid w:val="007228D6"/>
    <w:rsid w:val="00893DCC"/>
    <w:rsid w:val="00A03E61"/>
    <w:rsid w:val="00B9602F"/>
    <w:rsid w:val="00BC0294"/>
    <w:rsid w:val="00D334AF"/>
    <w:rsid w:val="00D3515E"/>
    <w:rsid w:val="00D4341E"/>
    <w:rsid w:val="00DE7142"/>
    <w:rsid w:val="00E51E54"/>
    <w:rsid w:val="00FA091F"/>
    <w:rsid w:val="00FB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39F8"/>
  <w15:chartTrackingRefBased/>
  <w15:docId w15:val="{E8DC553F-8D03-41BC-AA03-4DE52166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294"/>
  </w:style>
  <w:style w:type="paragraph" w:styleId="Heading1">
    <w:name w:val="heading 1"/>
    <w:basedOn w:val="Normal"/>
    <w:next w:val="Normal"/>
    <w:link w:val="Heading1Char"/>
    <w:uiPriority w:val="9"/>
    <w:qFormat/>
    <w:rsid w:val="00BC0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0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0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0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294"/>
    <w:rPr>
      <w:rFonts w:eastAsiaTheme="majorEastAsia" w:cstheme="majorBidi"/>
      <w:color w:val="272727" w:themeColor="text1" w:themeTint="D8"/>
    </w:rPr>
  </w:style>
  <w:style w:type="paragraph" w:styleId="Title">
    <w:name w:val="Title"/>
    <w:basedOn w:val="Normal"/>
    <w:next w:val="Normal"/>
    <w:link w:val="TitleChar"/>
    <w:uiPriority w:val="10"/>
    <w:qFormat/>
    <w:rsid w:val="00BC0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294"/>
    <w:pPr>
      <w:spacing w:before="160"/>
      <w:jc w:val="center"/>
    </w:pPr>
    <w:rPr>
      <w:i/>
      <w:iCs/>
      <w:color w:val="404040" w:themeColor="text1" w:themeTint="BF"/>
    </w:rPr>
  </w:style>
  <w:style w:type="character" w:customStyle="1" w:styleId="QuoteChar">
    <w:name w:val="Quote Char"/>
    <w:basedOn w:val="DefaultParagraphFont"/>
    <w:link w:val="Quote"/>
    <w:uiPriority w:val="29"/>
    <w:rsid w:val="00BC0294"/>
    <w:rPr>
      <w:i/>
      <w:iCs/>
      <w:color w:val="404040" w:themeColor="text1" w:themeTint="BF"/>
    </w:rPr>
  </w:style>
  <w:style w:type="paragraph" w:styleId="ListParagraph">
    <w:name w:val="List Paragraph"/>
    <w:basedOn w:val="Normal"/>
    <w:uiPriority w:val="34"/>
    <w:qFormat/>
    <w:rsid w:val="00BC0294"/>
    <w:pPr>
      <w:ind w:left="720"/>
      <w:contextualSpacing/>
    </w:pPr>
  </w:style>
  <w:style w:type="character" w:styleId="IntenseEmphasis">
    <w:name w:val="Intense Emphasis"/>
    <w:basedOn w:val="DefaultParagraphFont"/>
    <w:uiPriority w:val="21"/>
    <w:qFormat/>
    <w:rsid w:val="00BC0294"/>
    <w:rPr>
      <w:i/>
      <w:iCs/>
      <w:color w:val="0F4761" w:themeColor="accent1" w:themeShade="BF"/>
    </w:rPr>
  </w:style>
  <w:style w:type="paragraph" w:styleId="IntenseQuote">
    <w:name w:val="Intense Quote"/>
    <w:basedOn w:val="Normal"/>
    <w:next w:val="Normal"/>
    <w:link w:val="IntenseQuoteChar"/>
    <w:uiPriority w:val="30"/>
    <w:qFormat/>
    <w:rsid w:val="00BC0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294"/>
    <w:rPr>
      <w:i/>
      <w:iCs/>
      <w:color w:val="0F4761" w:themeColor="accent1" w:themeShade="BF"/>
    </w:rPr>
  </w:style>
  <w:style w:type="character" w:styleId="IntenseReference">
    <w:name w:val="Intense Reference"/>
    <w:basedOn w:val="DefaultParagraphFont"/>
    <w:uiPriority w:val="32"/>
    <w:qFormat/>
    <w:rsid w:val="00BC0294"/>
    <w:rPr>
      <w:b/>
      <w:bCs/>
      <w:smallCaps/>
      <w:color w:val="0F4761" w:themeColor="accent1" w:themeShade="BF"/>
      <w:spacing w:val="5"/>
    </w:rPr>
  </w:style>
  <w:style w:type="character" w:styleId="Hyperlink">
    <w:name w:val="Hyperlink"/>
    <w:basedOn w:val="DefaultParagraphFont"/>
    <w:uiPriority w:val="99"/>
    <w:unhideWhenUsed/>
    <w:rsid w:val="00BC02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32/174426414X1417545274793" TargetMode="External"/><Relationship Id="rId3" Type="http://schemas.openxmlformats.org/officeDocument/2006/relationships/settings" Target="settings.xml"/><Relationship Id="rId7" Type="http://schemas.openxmlformats.org/officeDocument/2006/relationships/hyperlink" Target="https://doi.org/10.1002/ev.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valprogplan.2022.102053" TargetMode="External"/><Relationship Id="rId11" Type="http://schemas.openxmlformats.org/officeDocument/2006/relationships/theme" Target="theme/theme1.xml"/><Relationship Id="rId5" Type="http://schemas.openxmlformats.org/officeDocument/2006/relationships/hyperlink" Target="https://doi.org/10.1177/109821401879632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6633/RPSP.201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3808</Words>
  <Characters>21710</Characters>
  <Application>Microsoft Office Word</Application>
  <DocSecurity>0</DocSecurity>
  <Lines>180</Lines>
  <Paragraphs>50</Paragraphs>
  <ScaleCrop>false</ScaleCrop>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17</cp:revision>
  <dcterms:created xsi:type="dcterms:W3CDTF">2025-09-08T17:56:00Z</dcterms:created>
  <dcterms:modified xsi:type="dcterms:W3CDTF">2025-09-08T20:37:00Z</dcterms:modified>
</cp:coreProperties>
</file>