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1600" cy="10920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put_file_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71600" cy="1092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8.00pt;height:85.9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80" w:before="240"/>
        <w:ind/>
        <w:rPr/>
      </w:pPr>
      <w:r>
        <w:rPr>
          <w:rFonts w:ascii="Avenir Next" w:hAnsi="Avenir Next"/>
          <w:b/>
          <w:color w:val="263944"/>
          <w:sz w:val="44"/>
        </w:rPr>
        <w:t xml:space="preserve">BRIEFING DE RECRUTEMENT MÉDICAL</w:t>
      </w:r>
      <w:r/>
    </w:p>
    <w:p>
      <w:pPr>
        <w:pBdr/>
        <w:spacing w:after="360" w:before="0"/>
        <w:ind/>
        <w:rPr/>
      </w:pPr>
      <w:r>
        <w:rPr>
          <w:rFonts w:ascii="Avenir Next" w:hAnsi="Avenir Next"/>
          <w:i/>
          <w:color w:val="718f83"/>
          <w:sz w:val="28"/>
        </w:rPr>
        <w:t xml:space="preserve">Réseau Médical Planaxis — Centre Pilote de Gland</w:t>
      </w:r>
      <w:r/>
    </w:p>
    <w:p>
      <w:pPr>
        <w:pBdr/>
        <w:spacing w:after="320"/>
        <w:ind/>
        <w:rPr/>
      </w:pPr>
      <w:r>
        <w:rPr>
          <w:color w:val="718f83"/>
        </w:rPr>
        <w:t xml:space="preserve">――――――――――――――――――――――――――――――――――――――――――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63944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8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b/>
                <w:color w:val="ffffff"/>
                <w:sz w:val="21"/>
              </w:rPr>
              <w:t xml:space="preserve">Mandat</w:t>
            </w:r>
            <w:r/>
          </w:p>
        </w:tc>
        <w:tc>
          <w:tcPr>
            <w:shd w:val="clear" w:color="auto" w:fill="f4f6f5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64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color w:val="20272b"/>
                <w:sz w:val="21"/>
              </w:rPr>
              <w:t xml:space="preserve">Médecins Généralistes / Urgentistes / Pédiatres</w:t>
            </w:r>
            <w:r/>
          </w:p>
        </w:tc>
      </w:tr>
      <w:tr>
        <w:trPr/>
        <w:tc>
          <w:tcPr>
            <w:shd w:val="clear" w:color="auto" w:fill="263944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8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b/>
                <w:color w:val="ffffff"/>
                <w:sz w:val="21"/>
              </w:rPr>
              <w:t xml:space="preserve">Localisation</w:t>
            </w:r>
            <w:r/>
          </w:p>
        </w:tc>
        <w:tc>
          <w:tcPr>
            <w:shd w:val="clear" w:color="auto" w:fill="f4f6f5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64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color w:val="20272b"/>
                <w:sz w:val="21"/>
              </w:rPr>
              <w:t xml:space="preserve">District de Nyon (Canton de Vaud, Suisse). Localisation exacte confidentielle</w:t>
            </w:r>
            <w:r/>
          </w:p>
        </w:tc>
      </w:tr>
      <w:tr>
        <w:trPr/>
        <w:tc>
          <w:tcPr>
            <w:shd w:val="clear" w:color="auto" w:fill="263944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28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b/>
                <w:color w:val="ffffff"/>
                <w:sz w:val="21"/>
              </w:rPr>
              <w:t xml:space="preserve">Taille de la structure</w:t>
            </w:r>
            <w:r/>
          </w:p>
        </w:tc>
        <w:tc>
          <w:tcPr>
            <w:shd w:val="clear" w:color="auto" w:fill="f4f6f5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648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venir Next" w:hAnsi="Avenir Next"/>
                <w:color w:val="20272b"/>
                <w:sz w:val="21"/>
              </w:rPr>
              <w:t xml:space="preserve">3 ETP médecins maximum par centre (site pilote)</w:t>
            </w:r>
            <w:r/>
          </w:p>
        </w:tc>
      </w:tr>
    </w:tbl>
    <w:p>
      <w:pPr>
        <w:pBdr/>
        <w:spacing w:after="24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rFonts w:ascii="Avenir Next" w:hAnsi="Avenir Next"/>
          <w:b/>
          <w:color w:val="263944"/>
          <w:sz w:val="30"/>
        </w:rPr>
        <w:t xml:space="preserve">1. Contexte et vision du groupe</w:t>
      </w:r>
      <w:r/>
    </w:p>
    <w:p>
      <w:pPr>
        <w:pBdr/>
        <w:spacing w:after="160" w:line="276" w:lineRule="auto"/>
        <w:ind/>
        <w:jc w:val="both"/>
        <w:rPr/>
      </w:pPr>
      <w:r>
        <w:rPr>
          <w:rFonts w:ascii="Avenir Next" w:hAnsi="Avenir Next"/>
          <w:color w:val="20272b"/>
        </w:rPr>
        <w:t xml:space="preserve">Le groupe lance son premier centre médical multidiscipli</w:t>
      </w:r>
      <w:r>
        <w:rPr>
          <w:rFonts w:ascii="Avenir Next" w:hAnsi="Avenir Next"/>
          <w:color w:val="20272b"/>
        </w:rPr>
        <w:t xml:space="preserve">naire et de soins non programmés près de Nyon, en reprenant un cabinet de groupe de pédiatres dont les associés partent à la retraite. Ce site pilote constitue le modèle d'un réseau régional en forte expansion en Suisse romande sur les 5 prochaines années.</w:t>
      </w:r>
      <w:r/>
    </w:p>
    <w:p>
      <w:pPr>
        <w:pBdr/>
        <w:spacing w:after="240" w:line="276" w:lineRule="auto"/>
        <w:ind/>
        <w:jc w:val="both"/>
        <w:rPr/>
      </w:pPr>
      <w:r>
        <w:rPr>
          <w:rFonts w:ascii="Avenir Next" w:hAnsi="Avenir Next"/>
          <w:color w:val="20272b"/>
        </w:rPr>
        <w:t xml:space="preserve">Pour garantir une agilité maximale, éviter la bureaucratie et maintenir une prise de décision ultra-réactive, la taille de chaque centre est volontairement plafonnée à 3 ETP médecins.</w:t>
      </w:r>
      <w:r/>
    </w:p>
    <w:p>
      <w:pPr>
        <w:keepNext w:val="true"/>
        <w:pBdr/>
        <w:spacing w:after="120" w:before="360"/>
        <w:ind/>
        <w:rPr/>
      </w:pPr>
      <w:r>
        <w:rPr>
          <w:rFonts w:ascii="Avenir Next" w:hAnsi="Avenir Next"/>
          <w:b/>
          <w:color w:val="263944"/>
          <w:sz w:val="30"/>
        </w:rPr>
        <w:t xml:space="preserve">2. Profils recherchés et exigences réglementaires</w:t>
      </w:r>
      <w:r/>
    </w:p>
    <w:p>
      <w:pPr>
        <w:pBdr/>
        <w:spacing w:after="120"/>
        <w:ind/>
        <w:jc w:val="both"/>
        <w:rPr/>
      </w:pPr>
      <w:r>
        <w:rPr>
          <w:rFonts w:ascii="Avenir Next" w:hAnsi="Avenir Next"/>
          <w:color w:val="20272b"/>
        </w:rPr>
        <w:t xml:space="preserve">Le cabinet de chasse doit cibler des médecins généralistes, urgentistes ou pédiatres répondant aux critères stricts suivants :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Titre de spécialiste FMH</w:t>
      </w:r>
      <w:r>
        <w:rPr>
          <w:rFonts w:ascii="Avenir Next" w:hAnsi="Avenir Next"/>
          <w:color w:val="20272b"/>
        </w:rPr>
        <w:t xml:space="preserve"> (ou équivalence Mebeko validée).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Autorisation de pratiquer</w:t>
      </w:r>
      <w:r>
        <w:rPr>
          <w:rFonts w:ascii="Avenir Next" w:hAnsi="Avenir Next"/>
          <w:color w:val="20272b"/>
        </w:rPr>
        <w:t xml:space="preserve"> dans le canton de Vaud (délivrée ou dossier immédiatement recevable).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Droit de facturer</w:t>
      </w:r>
      <w:r>
        <w:rPr>
          <w:rFonts w:ascii="Avenir Next" w:hAnsi="Avenir Next"/>
          <w:color w:val="20272b"/>
        </w:rPr>
        <w:t xml:space="preserve"> à la charge de l'AOS / LaMAL dans le canton de Vaud.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Savoir-être</w:t>
      </w:r>
      <w:r>
        <w:rPr>
          <w:rFonts w:ascii="Avenir Next" w:hAnsi="Avenir Next"/>
          <w:color w:val="20272b"/>
        </w:rPr>
        <w:t xml:space="preserve"> : Orientation patient, goût pour le travail en équipe multidisciplinaire et appétence pour l'innovation technologique.</w:t>
      </w:r>
      <w:r/>
    </w:p>
    <w:p>
      <w:pPr>
        <w:keepNext w:val="true"/>
        <w:pBdr/>
        <w:spacing w:after="120" w:before="360"/>
        <w:ind/>
        <w:rPr/>
      </w:pPr>
      <w:r>
        <w:rPr>
          <w:rFonts w:ascii="Avenir Next" w:hAnsi="Avenir Next"/>
          <w:b/>
          <w:color w:val="263944"/>
          <w:sz w:val="30"/>
        </w:rPr>
        <w:t xml:space="preserve">3. Modèle de rémunération et statut</w:t>
      </w:r>
      <w:r/>
    </w:p>
    <w:p>
      <w:pPr>
        <w:pBdr/>
        <w:spacing w:after="160" w:line="276" w:lineRule="auto"/>
        <w:ind/>
        <w:jc w:val="both"/>
        <w:rPr/>
      </w:pPr>
      <w:r>
        <w:rPr>
          <w:rFonts w:ascii="Avenir Next" w:hAnsi="Avenir Next"/>
          <w:color w:val="20272b"/>
        </w:rPr>
        <w:t xml:space="preserve">La proposition combine la sécurité du salariat et l'attractivité financière des structures libérales (type Magellan ou Maison Médicale) :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Statut :</w:t>
      </w:r>
      <w:r>
        <w:rPr>
          <w:rFonts w:ascii="Avenir Next" w:hAnsi="Avenir Next"/>
          <w:color w:val="20272b"/>
        </w:rPr>
        <w:t xml:space="preserve"> Salarié (couverture sociale complète, gestion administrative et risque entrepreneurial pris en charge à 100 % par le groupe).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Salaire fixe de base :</w:t>
      </w:r>
      <w:r>
        <w:rPr>
          <w:rFonts w:ascii="Avenir Next" w:hAnsi="Avenir Next"/>
          <w:color w:val="20272b"/>
        </w:rPr>
        <w:t xml:space="preserve"> 200 000 CHF brut / an.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Part variable incitative :</w:t>
      </w:r>
      <w:r>
        <w:rPr>
          <w:rFonts w:ascii="Avenir Next" w:hAnsi="Avenir Next"/>
          <w:color w:val="20272b"/>
        </w:rPr>
        <w:t xml:space="preserve"> Bonus de 35 % sur la valeur des prestations médicales (PM) réalisées au-delà de 350 000 CHF de chiffre d'affaires (seuil ajustable jusqu'à 300 000 CHF selon le profil et la montée en charge).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Activité minimale attendue :</w:t>
      </w:r>
      <w:r>
        <w:rPr>
          <w:rFonts w:ascii="Avenir Next" w:hAnsi="Avenir Next"/>
          <w:color w:val="20272b"/>
        </w:rPr>
        <w:t xml:space="preserve"> 12 consultations / jour (prix moyen de consultation retenu : 165 CHF).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Projection financière :</w:t>
      </w:r>
      <w:r>
        <w:rPr>
          <w:rFonts w:ascii="Avenir Next" w:hAnsi="Avenir Next"/>
          <w:color w:val="20272b"/>
        </w:rPr>
        <w:t xml:space="preserve"> Pour un rythme de 20 patients / jour sur 230 jours d'exercice par an, la rémunération annuelle globale s'élève à 272 000 CHF brut (200 000 CHF fixe + 72 000 CHF de part variable).</w:t>
      </w:r>
      <w:r/>
    </w:p>
    <w:p>
      <w:pPr>
        <w:keepNext w:val="true"/>
        <w:pBdr/>
        <w:spacing w:after="120" w:before="360"/>
        <w:ind/>
        <w:rPr/>
      </w:pPr>
      <w:r>
        <w:rPr>
          <w:rFonts w:ascii="Avenir Next" w:hAnsi="Avenir Next"/>
          <w:b/>
          <w:color w:val="263944"/>
          <w:sz w:val="30"/>
        </w:rPr>
        <w:t xml:space="preserve">4. Proposition de valeur employeur (EVP) et arguments de chasse</w:t>
      </w:r>
      <w:r/>
    </w:p>
    <w:p>
      <w:pPr>
        <w:pBdr/>
        <w:spacing w:after="120"/>
        <w:ind/>
        <w:jc w:val="both"/>
        <w:rPr/>
      </w:pPr>
      <w:r>
        <w:rPr>
          <w:rFonts w:ascii="Avenir Next" w:hAnsi="Avenir Next"/>
          <w:color w:val="20272b"/>
        </w:rPr>
        <w:t xml:space="preserve">Pour séduire les praticiens en poste à l'hôpital ou en cabinet isolé, les arguments majeurs à promouvoir sont :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Temps médical protégé par l'IA :</w:t>
      </w:r>
      <w:r>
        <w:rPr>
          <w:rFonts w:ascii="Avenir Next" w:hAnsi="Avenir Next"/>
          <w:color w:val="20272b"/>
        </w:rPr>
        <w:t xml:space="preserve"> Un assistant IA interne dédié à la rédaction automatique des comptes-rendus médicaux (complété par des solutions du marché si nécessaire) libère les médecins de la charge administrative.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Plateau technique performant :</w:t>
      </w:r>
      <w:r>
        <w:rPr>
          <w:rFonts w:ascii="Avenir Next" w:hAnsi="Avenir Next"/>
          <w:color w:val="20272b"/>
        </w:rPr>
        <w:t xml:space="preserve"> Partenariat stratégique avec un laboratoire de biologie médicale (résultats en moins de 3 heures) et possibilité d'installer un automate de biologie délocalisée en centre.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Équipement sur mesure :</w:t>
      </w:r>
      <w:r>
        <w:rPr>
          <w:rFonts w:ascii="Avenir Next" w:hAnsi="Avenir Next"/>
          <w:color w:val="20272b"/>
        </w:rPr>
        <w:t xml:space="preserve"> Investissement garanti dans un appareil d'échographie de dernière génération selon les besoins exprimés par l'équipe médicale.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Perspectives d'évolution rapide :</w:t>
      </w:r>
      <w:r>
        <w:rPr>
          <w:rFonts w:ascii="Avenir Next" w:hAnsi="Avenir Next"/>
          <w:color w:val="20272b"/>
        </w:rPr>
        <w:t xml:space="preserve"> En rejoignant le centre fondateur, les premiers médecins accèdent à des opportunités réelles de leadership (direction médicale de centre, coordination du réseau) au fil du déploiement de la marque.</w:t>
      </w:r>
      <w:r/>
    </w:p>
    <w:p>
      <w:pPr>
        <w:keepNext w:val="true"/>
        <w:pBdr/>
        <w:spacing w:after="120" w:before="360"/>
        <w:ind/>
        <w:rPr/>
      </w:pPr>
      <w:r>
        <w:rPr>
          <w:rFonts w:ascii="Avenir Next" w:hAnsi="Avenir Next"/>
          <w:b/>
          <w:color w:val="263944"/>
          <w:sz w:val="30"/>
        </w:rPr>
        <w:t xml:space="preserve">5. Attentes vis-à-vis du cabinet de chasse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Stratégie de sourcing :</w:t>
      </w:r>
      <w:r>
        <w:rPr>
          <w:rFonts w:ascii="Avenir Next" w:hAnsi="Avenir Next"/>
          <w:color w:val="20272b"/>
        </w:rPr>
        <w:t xml:space="preserve"> Chasse directe ciblée sur les réseaux hospitaliers vaudois/romands (CHUV, hôpitaux régionaux), cliniques privées hors Hirslanden et praticiens libéraux souhaitant abandonner les contraintes de gestion.</w:t>
      </w:r>
      <w:r/>
    </w:p>
    <w:p>
      <w:pPr>
        <w:pStyle w:val="723"/>
        <w:pBdr/>
        <w:spacing w:after="80" w:line="276" w:lineRule="auto"/>
        <w:ind/>
        <w:jc w:val="both"/>
        <w:rPr/>
      </w:pPr>
      <w:r>
        <w:rPr>
          <w:rFonts w:ascii="Avenir Next" w:hAnsi="Avenir Next"/>
          <w:b/>
          <w:color w:val="263944"/>
        </w:rPr>
        <w:t xml:space="preserve">Livrables attendus :</w:t>
      </w:r>
      <w:r>
        <w:rPr>
          <w:rFonts w:ascii="Avenir Next" w:hAnsi="Avenir Next"/>
          <w:color w:val="20272b"/>
        </w:rPr>
        <w:t xml:space="preserve"> Dossiers de candidature qualifiés intégrant la vérification des titres FMH, Mebeko et des autorisations vaudoises.</w:t>
      </w:r>
      <w:r/>
    </w:p>
    <w:p w14:paraId="7799649D">
      <w:pPr>
        <w:pBdr/>
        <w:spacing/>
        <w:ind/>
        <w:jc w:val="left"/>
        <w:rPr/>
      </w:pPr>
      <w:r/>
      <w:r/>
      <w:r/>
    </w:p>
    <w:p w14:paraId="742398E5">
      <w:pPr>
        <w:pBdr/>
        <w:spacing/>
        <w:ind/>
        <w:jc w:val="left"/>
        <w:rPr/>
      </w:pPr>
      <w:r/>
      <w:r/>
      <w:r/>
    </w:p>
    <w:p w14:paraId="6E225FCC">
      <w:pPr>
        <w:keepNext w:val="true"/>
        <w:pBdr/>
        <w:spacing w:after="120" w:before="360"/>
        <w:ind/>
        <w:rPr>
          <w:rFonts w:ascii="Avenir Next" w:hAnsi="Avenir Next"/>
          <w:b/>
          <w:bCs/>
          <w:color w:val="263944"/>
          <w:sz w:val="30"/>
          <w:szCs w:val="30"/>
          <w:highlight w:val="none"/>
        </w:rPr>
      </w:pPr>
      <w:r>
        <w:rPr>
          <w:rFonts w:ascii="Avenir Next" w:hAnsi="Avenir Next"/>
          <w:b/>
          <w:color w:val="263944"/>
          <w:sz w:val="30"/>
        </w:rPr>
        <w:t xml:space="preserve">6. Annexe 1 : consultations et journée types</w:t>
      </w:r>
      <w:r>
        <w:rPr>
          <w:rFonts w:ascii="Avenir Next" w:hAnsi="Avenir Next"/>
          <w:b/>
          <w:bCs/>
          <w:color w:val="263944"/>
          <w:sz w:val="30"/>
          <w:szCs w:val="30"/>
          <w:highlight w:val="none"/>
        </w:rPr>
      </w:r>
      <w:r>
        <w:rPr>
          <w:rFonts w:ascii="Avenir Next" w:hAnsi="Avenir Next"/>
          <w:b/>
          <w:color w:val="263944"/>
          <w:sz w:val="30"/>
          <w:highlight w:val="none"/>
        </w:rPr>
      </w:r>
      <w:r>
        <w:rPr>
          <w:rFonts w:ascii="Avenir Next" w:hAnsi="Avenir Next"/>
          <w:b/>
          <w:color w:val="263944"/>
          <w:sz w:val="30"/>
          <w:highlight w:val="none"/>
        </w:rPr>
      </w:r>
      <w:r>
        <w:rPr>
          <w:rFonts w:ascii="Avenir Next" w:hAnsi="Avenir Next"/>
          <w:b/>
          <w:color w:val="263944"/>
          <w:sz w:val="30"/>
          <w:highlight w:val="none"/>
        </w:rPr>
      </w:r>
      <w:r>
        <w:rPr>
          <w:rFonts w:ascii="Avenir Next" w:hAnsi="Avenir Next"/>
          <w:b/>
          <w:bCs/>
          <w:color w:val="263944"/>
          <w:sz w:val="30"/>
          <w:szCs w:val="30"/>
          <w:highlight w:val="none"/>
        </w:rPr>
      </w:r>
    </w:p>
    <w:p w14:paraId="003AF801">
      <w:pPr>
        <w:pBdr/>
        <w:spacing w:after="120"/>
        <w:ind/>
        <w:jc w:val="both"/>
        <w:rPr/>
      </w:pPr>
      <w:r>
        <w:rPr>
          <w:rFonts w:ascii="Avenir Next" w:hAnsi="Avenir Next"/>
          <w:color w:val="20272b"/>
        </w:rPr>
        <w:t xml:space="preserve">Le business-plan repose sur la réalisation minimale de 10 consultations “standard” selon le modèle suivant :</w:t>
      </w:r>
      <w:r/>
    </w:p>
    <w:p w14:paraId="66DC54F6">
      <w:pPr>
        <w:keepNext w:val="true"/>
        <w:pBdr/>
        <w:spacing w:after="120" w:before="360"/>
        <w:ind/>
        <w:rPr>
          <w:rFonts w:ascii="Avenir Next" w:hAnsi="Avenir Next"/>
          <w:b/>
          <w:bCs/>
          <w:color w:val="263944"/>
          <w:sz w:val="30"/>
          <w:szCs w:val="30"/>
          <w:highlight w:val="none"/>
        </w:rPr>
      </w:pPr>
      <w:r>
        <w:rPr>
          <w:rFonts w:ascii="Avenir Next" w:hAnsi="Avenir Next"/>
          <w:b/>
          <w:color w:val="263944"/>
          <w:sz w:val="3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959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517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489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85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venir Next" w:hAnsi="Avenir Next"/>
          <w:b/>
          <w:color w:val="263944"/>
          <w:sz w:val="30"/>
          <w:highlight w:val="none"/>
        </w:rPr>
      </w:r>
      <w:r>
        <w:rPr>
          <w:rFonts w:ascii="Avenir Next" w:hAnsi="Avenir Next"/>
          <w:b/>
          <w:color w:val="263944"/>
          <w:sz w:val="30"/>
          <w:highlight w:val="none"/>
        </w:rPr>
      </w:r>
    </w:p>
    <w:p w14:paraId="003AF801">
      <w:pPr>
        <w:pBdr/>
        <w:spacing w:after="120"/>
        <w:ind/>
        <w:jc w:val="both"/>
        <w:rPr>
          <w:rFonts w:ascii="Avenir Next" w:hAnsi="Avenir Next"/>
          <w:color w:val="20272b"/>
        </w:rPr>
      </w:pPr>
      <w:r>
        <w:rPr>
          <w:rFonts w:ascii="Avenir Next" w:hAnsi="Avenir Next"/>
          <w:color w:val="20272b"/>
        </w:rPr>
        <w:br/>
      </w:r>
      <w:r>
        <w:rPr>
          <w:rFonts w:ascii="Avenir Next" w:hAnsi="Avenir Next"/>
          <w:color w:val="20272b"/>
          <w:highlight w:val="none"/>
        </w:rPr>
      </w:r>
    </w:p>
    <w:p w14:paraId="55A1F1BB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35B52E32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3DBE9205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6ED85CD6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2EB65FC7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32C42718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776E7C98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 w14:paraId="40292FBE">
      <w:pPr>
        <w:pBdr/>
        <w:spacing w:after="120"/>
        <w:ind/>
        <w:jc w:val="both"/>
        <w:rPr>
          <w:rFonts w:ascii="Avenir Next" w:hAnsi="Avenir Next"/>
          <w:color w:val="20272b"/>
          <w:highlight w:val="none"/>
        </w:rPr>
      </w:pPr>
      <w:r>
        <w:rPr>
          <w:rFonts w:ascii="Avenir Next" w:hAnsi="Avenir Next"/>
          <w:color w:val="20272b"/>
        </w:rPr>
        <w:t xml:space="preserve">Et de 2 consultations selon le modèle suivant (donc une pressante)</w:t>
      </w:r>
      <w:r/>
      <w:r/>
    </w:p>
    <w:p w14:paraId="6B92D561">
      <w:pPr>
        <w:pBdr/>
        <w:spacing w:after="120"/>
        <w:ind/>
        <w:jc w:val="both"/>
        <w:rPr/>
      </w:pPr>
      <w:r>
        <w:rPr>
          <w:rFonts w:ascii="Avenir Next" w:hAnsi="Avenir Next"/>
          <w:color w:val="20272b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9598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2798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489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85.5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venir Next" w:hAnsi="Avenir Next"/>
          <w:color w:val="20272b"/>
          <w:highlight w:val="none"/>
        </w:rPr>
      </w:r>
      <w:r>
        <w:rPr>
          <w:rFonts w:ascii="Avenir Next" w:hAnsi="Avenir Next"/>
          <w:color w:val="20272b"/>
          <w:highlight w:val="none"/>
        </w:rPr>
      </w:r>
    </w:p>
    <w:p>
      <w:pPr>
        <w:pBdr/>
        <w:spacing/>
        <w:ind/>
        <w:jc w:val="left"/>
        <w:rPr/>
      </w:pPr>
      <w:r>
        <w:rPr>
          <w:rFonts w:ascii="Avenir Next" w:hAnsi="Avenir Next"/>
          <w:i/>
          <w:color w:val="718f83"/>
          <w:sz w:val="19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venir Next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venir Next" w:hAnsi="Avenir Next"/>
      <w:color w:val="20272b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onlyoffice/9.4.1.15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Georges-Hubert Delporte</cp:lastModifiedBy>
  <cp:revision>2</cp:revision>
  <dcterms:created xsi:type="dcterms:W3CDTF">2013-12-23T23:15:00Z</dcterms:created>
  <dcterms:modified xsi:type="dcterms:W3CDTF">2026-08-25T10:09:18Z</dcterms:modified>
  <cp:category/>
</cp:coreProperties>
</file>