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nuclear-soec-co-design-roadmap"/>
    <w:p>
      <w:pPr>
        <w:pStyle w:val="Heading1"/>
      </w:pPr>
      <w:r>
        <w:t xml:space="preserve">Nuclear + SOEC Co-Design Roadmap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 phased, financeable, and technically disciplined path to deploy insured SOEC systems at scale while developing a purpose-built nuclear reactor and custom SOEC stacks optimized for a fully integrated power-refinery architecture.</w:t>
      </w:r>
    </w:p>
    <w:p>
      <w:pPr>
        <w:pStyle w:val="BodyText"/>
      </w:pPr>
      <w:r>
        <w:t xml:space="preserve">This roadmap answers</w:t>
      </w:r>
      <w:r>
        <w:t xml:space="preserve"> </w:t>
      </w:r>
      <w:r>
        <w:rPr>
          <w:b/>
          <w:bCs/>
        </w:rPr>
        <w:t xml:space="preserve">How</w:t>
      </w:r>
      <w:r>
        <w:t xml:space="preserve">,</w:t>
      </w:r>
      <w:r>
        <w:t xml:space="preserve"> </w:t>
      </w:r>
      <w:r>
        <w:rPr>
          <w:b/>
          <w:bCs/>
        </w:rPr>
        <w:t xml:space="preserve">When</w:t>
      </w:r>
      <w:r>
        <w:t xml:space="preserve">, and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development occurs, without exposing production operations to technology risk.</w:t>
      </w:r>
    </w:p>
    <w:p>
      <w:r>
        <w:pict>
          <v:rect style="width:0;height:1.5pt" o:hralign="center" o:hrstd="t" o:hr="t"/>
        </w:pict>
      </w:r>
    </w:p>
    <w:bookmarkEnd w:id="20"/>
    <w:bookmarkStart w:id="21" w:name="guiding-principles"/>
    <w:p>
      <w:pPr>
        <w:pStyle w:val="Heading2"/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t xml:space="preserve">Production systems remain fully insured and warrantied.</w:t>
      </w:r>
    </w:p>
    <w:p>
      <w:pPr>
        <w:pStyle w:val="Compact"/>
        <w:numPr>
          <w:ilvl w:val="0"/>
          <w:numId w:val="1001"/>
        </w:numPr>
      </w:pPr>
      <w:r>
        <w:t xml:space="preserve">R&amp;D is physically and contractually isolated from revenue operations.</w:t>
      </w:r>
    </w:p>
    <w:p>
      <w:pPr>
        <w:pStyle w:val="Compact"/>
        <w:numPr>
          <w:ilvl w:val="0"/>
          <w:numId w:val="1001"/>
        </w:numPr>
      </w:pPr>
      <w:r>
        <w:t xml:space="preserve">Graduation between phases is data-driven, not belief-driven.</w:t>
      </w:r>
    </w:p>
    <w:p>
      <w:pPr>
        <w:pStyle w:val="Compact"/>
        <w:numPr>
          <w:ilvl w:val="0"/>
          <w:numId w:val="1001"/>
        </w:numPr>
      </w:pPr>
      <w:r>
        <w:t xml:space="preserve">Thermal integration is treated as a first-class design variable.</w:t>
      </w:r>
    </w:p>
    <w:p>
      <w:pPr>
        <w:pStyle w:val="Compact"/>
        <w:numPr>
          <w:ilvl w:val="0"/>
          <w:numId w:val="1001"/>
        </w:numPr>
      </w:pPr>
      <w:r>
        <w:t xml:space="preserve">Licensing strategy prioritizes conservative pathways.</w:t>
      </w:r>
    </w:p>
    <w:p>
      <w:r>
        <w:pict>
          <v:rect style="width:0;height:1.5pt" o:hralign="center" o:hrstd="t" o:hr="t"/>
        </w:pict>
      </w:r>
    </w:p>
    <w:bookmarkEnd w:id="21"/>
    <w:bookmarkStart w:id="27" w:name="phase-1-bankable-production-backbone"/>
    <w:p>
      <w:pPr>
        <w:pStyle w:val="Heading2"/>
      </w:pPr>
      <w:r>
        <w:t xml:space="preserve">Phase 1: Bankable Production Backbone</w:t>
      </w:r>
    </w:p>
    <w:bookmarkStart w:id="2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Establish reliable, financeable hydrogen production using commercially insured SOEC systems.</w:t>
      </w:r>
    </w:p>
    <w:bookmarkEnd w:id="22"/>
    <w:bookmarkStart w:id="23" w:name="how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02"/>
        </w:numPr>
      </w:pPr>
      <w:r>
        <w:t xml:space="preserve">Deploy multi-MW SOEC blocks from an established vendor with:</w:t>
      </w:r>
    </w:p>
    <w:p>
      <w:pPr>
        <w:pStyle w:val="Compact"/>
        <w:numPr>
          <w:ilvl w:val="1"/>
          <w:numId w:val="1003"/>
        </w:numPr>
      </w:pPr>
      <w:r>
        <w:t xml:space="preserve">10-year service-backed warranty</w:t>
      </w:r>
    </w:p>
    <w:p>
      <w:pPr>
        <w:pStyle w:val="Compact"/>
        <w:numPr>
          <w:ilvl w:val="1"/>
          <w:numId w:val="1003"/>
        </w:numPr>
      </w:pPr>
      <w:r>
        <w:t xml:space="preserve">Commissioning and ramp-up performance insurance</w:t>
      </w:r>
    </w:p>
    <w:p>
      <w:pPr>
        <w:pStyle w:val="Compact"/>
        <w:numPr>
          <w:ilvl w:val="1"/>
          <w:numId w:val="1003"/>
        </w:numPr>
      </w:pPr>
      <w:r>
        <w:t xml:space="preserve">Known degradation curves</w:t>
      </w:r>
    </w:p>
    <w:p>
      <w:pPr>
        <w:pStyle w:val="Compact"/>
        <w:numPr>
          <w:ilvl w:val="0"/>
          <w:numId w:val="1002"/>
        </w:numPr>
      </w:pPr>
      <w:r>
        <w:t xml:space="preserve">Integrate SOEC systems with existing power infrastructure using conservative thermal assumptions.</w:t>
      </w:r>
    </w:p>
    <w:bookmarkEnd w:id="23"/>
    <w:bookmarkStart w:id="24" w:name="when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04"/>
        </w:numPr>
      </w:pPr>
      <w:r>
        <w:t xml:space="preserve">Project Day 0 through Initial Commercial Operation</w:t>
      </w:r>
    </w:p>
    <w:p>
      <w:pPr>
        <w:pStyle w:val="Compact"/>
        <w:numPr>
          <w:ilvl w:val="0"/>
          <w:numId w:val="1004"/>
        </w:numPr>
      </w:pPr>
      <w:r>
        <w:t xml:space="preserve">No experimental hardware permitted in production loop</w:t>
      </w:r>
    </w:p>
    <w:bookmarkEnd w:id="24"/>
    <w:bookmarkStart w:id="25" w:name="where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05"/>
        </w:numPr>
      </w:pPr>
      <w:r>
        <w:t xml:space="preserve">Primary production hall</w:t>
      </w:r>
    </w:p>
    <w:p>
      <w:pPr>
        <w:pStyle w:val="Compact"/>
        <w:numPr>
          <w:ilvl w:val="0"/>
          <w:numId w:val="1005"/>
        </w:numPr>
      </w:pPr>
      <w:r>
        <w:t xml:space="preserve">Fully separated from R&amp;D facilities</w:t>
      </w:r>
    </w:p>
    <w:bookmarkEnd w:id="25"/>
    <w:bookmarkStart w:id="26" w:name="key-outputs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06"/>
        </w:numPr>
      </w:pPr>
      <w:r>
        <w:t xml:space="preserve">Stable hydrogen output</w:t>
      </w:r>
    </w:p>
    <w:p>
      <w:pPr>
        <w:pStyle w:val="Compact"/>
        <w:numPr>
          <w:ilvl w:val="0"/>
          <w:numId w:val="1006"/>
        </w:numPr>
      </w:pPr>
      <w:r>
        <w:t xml:space="preserve">Insurer-validated operational data</w:t>
      </w:r>
    </w:p>
    <w:p>
      <w:pPr>
        <w:pStyle w:val="Compact"/>
        <w:numPr>
          <w:ilvl w:val="0"/>
          <w:numId w:val="1006"/>
        </w:numPr>
      </w:pPr>
      <w:r>
        <w:t xml:space="preserve">Baseline kWh/kg and degradation metrics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hase-2-parallel-soec-stack-rd-program"/>
    <w:p>
      <w:pPr>
        <w:pStyle w:val="Heading2"/>
      </w:pPr>
      <w:r>
        <w:t xml:space="preserve">Phase 2: Parallel SOEC Stack R&amp;D Program</w:t>
      </w:r>
    </w:p>
    <w:bookmarkStart w:id="2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Develop large-format SOEC stacks optimized for long-duration steady-state operation and direct DC integration.</w:t>
      </w:r>
    </w:p>
    <w:bookmarkEnd w:id="28"/>
    <w:bookmarkStart w:id="29" w:name="how-1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07"/>
        </w:numPr>
      </w:pPr>
      <w:r>
        <w:t xml:space="preserve">Establish internal SOEC lab and pilot line</w:t>
      </w:r>
    </w:p>
    <w:p>
      <w:pPr>
        <w:pStyle w:val="Compact"/>
        <w:numPr>
          <w:ilvl w:val="0"/>
          <w:numId w:val="1007"/>
        </w:numPr>
      </w:pPr>
      <w:r>
        <w:t xml:space="preserve">Design stacks for:</w:t>
      </w:r>
    </w:p>
    <w:p>
      <w:pPr>
        <w:pStyle w:val="Compact"/>
        <w:numPr>
          <w:ilvl w:val="1"/>
          <w:numId w:val="1008"/>
        </w:numPr>
      </w:pPr>
      <w:r>
        <w:t xml:space="preserve">Reduced stack count per MW</w:t>
      </w:r>
    </w:p>
    <w:p>
      <w:pPr>
        <w:pStyle w:val="Compact"/>
        <w:numPr>
          <w:ilvl w:val="1"/>
          <w:numId w:val="1008"/>
        </w:numPr>
      </w:pPr>
      <w:r>
        <w:t xml:space="preserve">Embedded degradation telemetry</w:t>
      </w:r>
    </w:p>
    <w:p>
      <w:pPr>
        <w:pStyle w:val="Compact"/>
        <w:numPr>
          <w:ilvl w:val="1"/>
          <w:numId w:val="1008"/>
        </w:numPr>
      </w:pPr>
      <w:r>
        <w:t xml:space="preserve">Robotic service access</w:t>
      </w:r>
    </w:p>
    <w:p>
      <w:pPr>
        <w:pStyle w:val="Compact"/>
        <w:numPr>
          <w:ilvl w:val="1"/>
          <w:numId w:val="1008"/>
        </w:numPr>
      </w:pPr>
      <w:r>
        <w:t xml:space="preserve">DC-native power input</w:t>
      </w:r>
    </w:p>
    <w:p>
      <w:pPr>
        <w:pStyle w:val="Compact"/>
        <w:numPr>
          <w:ilvl w:val="0"/>
          <w:numId w:val="1007"/>
        </w:numPr>
      </w:pPr>
      <w:r>
        <w:t xml:space="preserve">Operate stacks under identical steam and power conditions as production units</w:t>
      </w:r>
    </w:p>
    <w:bookmarkEnd w:id="29"/>
    <w:bookmarkStart w:id="30" w:name="when-1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09"/>
        </w:numPr>
      </w:pPr>
      <w:r>
        <w:t xml:space="preserve">Begins after production commissioning</w:t>
      </w:r>
    </w:p>
    <w:p>
      <w:pPr>
        <w:pStyle w:val="Compact"/>
        <w:numPr>
          <w:ilvl w:val="0"/>
          <w:numId w:val="1009"/>
        </w:numPr>
      </w:pPr>
      <w:r>
        <w:t xml:space="preserve">Runs continuously in parallel</w:t>
      </w:r>
    </w:p>
    <w:bookmarkEnd w:id="30"/>
    <w:bookmarkStart w:id="31" w:name="where-1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10"/>
        </w:numPr>
      </w:pPr>
      <w:r>
        <w:t xml:space="preserve">Dedicated R&amp;D building</w:t>
      </w:r>
    </w:p>
    <w:p>
      <w:pPr>
        <w:pStyle w:val="Compact"/>
        <w:numPr>
          <w:ilvl w:val="0"/>
          <w:numId w:val="1010"/>
        </w:numPr>
      </w:pPr>
      <w:r>
        <w:t xml:space="preserve">Electrically, thermally, and operationally isolated</w:t>
      </w:r>
    </w:p>
    <w:bookmarkEnd w:id="31"/>
    <w:bookmarkStart w:id="32" w:name="graduation-criteria"/>
    <w:p>
      <w:pPr>
        <w:pStyle w:val="Heading3"/>
      </w:pPr>
      <w:r>
        <w:t xml:space="preserve">Graduation Criteria</w:t>
      </w:r>
    </w:p>
    <w:p>
      <w:pPr>
        <w:pStyle w:val="Compact"/>
        <w:numPr>
          <w:ilvl w:val="0"/>
          <w:numId w:val="1011"/>
        </w:numPr>
      </w:pPr>
      <w:r>
        <w:t xml:space="preserve">Demonstrated efficiency improvement</w:t>
      </w:r>
    </w:p>
    <w:p>
      <w:pPr>
        <w:pStyle w:val="Compact"/>
        <w:numPr>
          <w:ilvl w:val="0"/>
          <w:numId w:val="1011"/>
        </w:numPr>
      </w:pPr>
      <w:r>
        <w:t xml:space="preserve">Lower degradation rate than insured baseline</w:t>
      </w:r>
    </w:p>
    <w:p>
      <w:pPr>
        <w:pStyle w:val="Compact"/>
        <w:numPr>
          <w:ilvl w:val="0"/>
          <w:numId w:val="1011"/>
        </w:numPr>
      </w:pPr>
      <w:r>
        <w:t xml:space="preserve">Equal or better uptime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ecbb7006efaa329f85a4265480d399f8162baac"/>
    <w:p>
      <w:pPr>
        <w:pStyle w:val="Heading2"/>
      </w:pPr>
      <w:r>
        <w:t xml:space="preserve">Phase 3: Thermal Conditioning via Molten Salt</w:t>
      </w:r>
    </w:p>
    <w:bookmarkStart w:id="34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Eliminate electric steam superheaters and stabilize SOEC inlet temperature using molten salt thermal conditioning.</w:t>
      </w:r>
    </w:p>
    <w:bookmarkEnd w:id="34"/>
    <w:bookmarkStart w:id="35" w:name="how-2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12"/>
        </w:numPr>
      </w:pPr>
      <w:r>
        <w:t xml:space="preserve">Design closed-loop molten salt system as thermal buffer</w:t>
      </w:r>
    </w:p>
    <w:p>
      <w:pPr>
        <w:pStyle w:val="Compact"/>
        <w:numPr>
          <w:ilvl w:val="0"/>
          <w:numId w:val="1012"/>
        </w:numPr>
      </w:pPr>
      <w:r>
        <w:t xml:space="preserve">Extract high-grade heat from power source</w:t>
      </w:r>
    </w:p>
    <w:p>
      <w:pPr>
        <w:pStyle w:val="Compact"/>
        <w:numPr>
          <w:ilvl w:val="0"/>
          <w:numId w:val="1012"/>
        </w:numPr>
      </w:pPr>
      <w:r>
        <w:t xml:space="preserve">Deliver precisely controlled steam temperature to SOEC inlet</w:t>
      </w:r>
    </w:p>
    <w:bookmarkEnd w:id="35"/>
    <w:bookmarkStart w:id="36" w:name="when-2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13"/>
        </w:numPr>
      </w:pPr>
      <w:r>
        <w:t xml:space="preserve">After stable Phase 1 operation</w:t>
      </w:r>
    </w:p>
    <w:p>
      <w:pPr>
        <w:pStyle w:val="Compact"/>
        <w:numPr>
          <w:ilvl w:val="0"/>
          <w:numId w:val="1013"/>
        </w:numPr>
      </w:pPr>
      <w:r>
        <w:t xml:space="preserve">Before nuclear co-design begins</w:t>
      </w:r>
    </w:p>
    <w:bookmarkEnd w:id="36"/>
    <w:bookmarkStart w:id="37" w:name="where-2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14"/>
        </w:numPr>
      </w:pPr>
      <w:r>
        <w:t xml:space="preserve">Thermal interface zone between power and electrolysis systems</w:t>
      </w:r>
    </w:p>
    <w:bookmarkEnd w:id="37"/>
    <w:bookmarkStart w:id="38" w:name="key-metrics"/>
    <w:p>
      <w:pPr>
        <w:pStyle w:val="Heading3"/>
      </w:pPr>
      <w:r>
        <w:t xml:space="preserve">Key Metrics</w:t>
      </w:r>
    </w:p>
    <w:p>
      <w:pPr>
        <w:pStyle w:val="Compact"/>
        <w:numPr>
          <w:ilvl w:val="0"/>
          <w:numId w:val="1015"/>
        </w:numPr>
      </w:pPr>
      <w:r>
        <w:t xml:space="preserve">Reduction in electric parasitic load</w:t>
      </w:r>
    </w:p>
    <w:p>
      <w:pPr>
        <w:pStyle w:val="Compact"/>
        <w:numPr>
          <w:ilvl w:val="0"/>
          <w:numId w:val="1015"/>
        </w:numPr>
      </w:pPr>
      <w:r>
        <w:t xml:space="preserve">Inlet temperature variance</w:t>
      </w:r>
    </w:p>
    <w:p>
      <w:pPr>
        <w:pStyle w:val="Compact"/>
        <w:numPr>
          <w:ilvl w:val="0"/>
          <w:numId w:val="1015"/>
        </w:numPr>
      </w:pPr>
      <w:r>
        <w:t xml:space="preserve">Impact on stack degradation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74041460b650a0163ac08f8222a46dcb42258df"/>
    <w:p>
      <w:pPr>
        <w:pStyle w:val="Heading2"/>
      </w:pPr>
      <w:r>
        <w:t xml:space="preserve">Phase 4: Nuclear Reactor Co-Design Program</w:t>
      </w:r>
    </w:p>
    <w:bookmarkStart w:id="40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Design a nuclear reactor purpose-built for continuous hydrogen production and process heat delivery.</w:t>
      </w:r>
    </w:p>
    <w:bookmarkEnd w:id="40"/>
    <w:bookmarkStart w:id="41" w:name="how-3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16"/>
        </w:numPr>
      </w:pPr>
      <w:r>
        <w:t xml:space="preserve">Partner with national laboratories and independent nuclear physicists</w:t>
      </w:r>
    </w:p>
    <w:p>
      <w:pPr>
        <w:pStyle w:val="Compact"/>
        <w:numPr>
          <w:ilvl w:val="0"/>
          <w:numId w:val="1016"/>
        </w:numPr>
      </w:pPr>
      <w:r>
        <w:t xml:space="preserve">Focus design on:</w:t>
      </w:r>
    </w:p>
    <w:p>
      <w:pPr>
        <w:pStyle w:val="Compact"/>
        <w:numPr>
          <w:ilvl w:val="1"/>
          <w:numId w:val="1017"/>
        </w:numPr>
      </w:pPr>
      <w:r>
        <w:t xml:space="preserve">Thermal-first output</w:t>
      </w:r>
    </w:p>
    <w:p>
      <w:pPr>
        <w:pStyle w:val="Compact"/>
        <w:numPr>
          <w:ilvl w:val="1"/>
          <w:numId w:val="1017"/>
        </w:numPr>
      </w:pPr>
      <w:r>
        <w:t xml:space="preserve">DC power compatibility</w:t>
      </w:r>
    </w:p>
    <w:p>
      <w:pPr>
        <w:pStyle w:val="Compact"/>
        <w:numPr>
          <w:ilvl w:val="1"/>
          <w:numId w:val="1017"/>
        </w:numPr>
      </w:pPr>
      <w:r>
        <w:t xml:space="preserve">Passive safety systems</w:t>
      </w:r>
    </w:p>
    <w:p>
      <w:pPr>
        <w:pStyle w:val="Compact"/>
        <w:numPr>
          <w:ilvl w:val="1"/>
          <w:numId w:val="1017"/>
        </w:numPr>
      </w:pPr>
      <w:r>
        <w:t xml:space="preserve">Flat load profile</w:t>
      </w:r>
    </w:p>
    <w:p>
      <w:pPr>
        <w:pStyle w:val="Compact"/>
        <w:numPr>
          <w:ilvl w:val="0"/>
          <w:numId w:val="1016"/>
        </w:numPr>
      </w:pPr>
      <w:r>
        <w:t xml:space="preserve">Evaluate candidate reactor classes:</w:t>
      </w:r>
    </w:p>
    <w:p>
      <w:pPr>
        <w:pStyle w:val="Compact"/>
        <w:numPr>
          <w:ilvl w:val="1"/>
          <w:numId w:val="1018"/>
        </w:numPr>
      </w:pPr>
      <w:r>
        <w:t xml:space="preserve">High-temperature gas reactors</w:t>
      </w:r>
    </w:p>
    <w:p>
      <w:pPr>
        <w:pStyle w:val="Compact"/>
        <w:numPr>
          <w:ilvl w:val="1"/>
          <w:numId w:val="1018"/>
        </w:numPr>
      </w:pPr>
      <w:r>
        <w:t xml:space="preserve">Molten salt reactors</w:t>
      </w:r>
    </w:p>
    <w:p>
      <w:pPr>
        <w:pStyle w:val="Compact"/>
        <w:numPr>
          <w:ilvl w:val="1"/>
          <w:numId w:val="1018"/>
        </w:numPr>
      </w:pPr>
      <w:r>
        <w:t xml:space="preserve">Fast-spectrum reactors with thermal off-ramps</w:t>
      </w:r>
    </w:p>
    <w:bookmarkEnd w:id="41"/>
    <w:bookmarkStart w:id="42" w:name="when-3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19"/>
        </w:numPr>
      </w:pPr>
      <w:r>
        <w:t xml:space="preserve">Initiated after Phase 3 thermal validation</w:t>
      </w:r>
    </w:p>
    <w:p>
      <w:pPr>
        <w:pStyle w:val="Compact"/>
        <w:numPr>
          <w:ilvl w:val="0"/>
          <w:numId w:val="1019"/>
        </w:numPr>
      </w:pPr>
      <w:r>
        <w:t xml:space="preserve">Long-duration modeling and simulation phase</w:t>
      </w:r>
    </w:p>
    <w:bookmarkEnd w:id="42"/>
    <w:bookmarkStart w:id="43" w:name="where-3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20"/>
        </w:numPr>
      </w:pPr>
      <w:r>
        <w:t xml:space="preserve">Offsite national lab facilities</w:t>
      </w:r>
    </w:p>
    <w:p>
      <w:pPr>
        <w:pStyle w:val="Compact"/>
        <w:numPr>
          <w:ilvl w:val="0"/>
          <w:numId w:val="1020"/>
        </w:numPr>
      </w:pPr>
      <w:r>
        <w:t xml:space="preserve">Internal nuclear design cell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5-shadow-deployment-and-validation"/>
    <w:p>
      <w:pPr>
        <w:pStyle w:val="Heading2"/>
      </w:pPr>
      <w:r>
        <w:t xml:space="preserve">Phase 5: Shadow Deployment and Validation</w:t>
      </w:r>
    </w:p>
    <w:bookmarkStart w:id="45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Validate internally developed SOEC stacks and nuclear-thermal interfaces under real operating conditions.</w:t>
      </w:r>
    </w:p>
    <w:bookmarkEnd w:id="45"/>
    <w:bookmarkStart w:id="46" w:name="how-4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21"/>
        </w:numPr>
      </w:pPr>
      <w:r>
        <w:t xml:space="preserve">Side-by-side operation with insured production systems</w:t>
      </w:r>
    </w:p>
    <w:p>
      <w:pPr>
        <w:pStyle w:val="Compact"/>
        <w:numPr>
          <w:ilvl w:val="0"/>
          <w:numId w:val="1021"/>
        </w:numPr>
      </w:pPr>
      <w:r>
        <w:t xml:space="preserve">Identical operating envelopes</w:t>
      </w:r>
    </w:p>
    <w:p>
      <w:pPr>
        <w:pStyle w:val="Compact"/>
        <w:numPr>
          <w:ilvl w:val="0"/>
          <w:numId w:val="1021"/>
        </w:numPr>
      </w:pPr>
      <w:r>
        <w:t xml:space="preserve">Independent monitoring and analytics</w:t>
      </w:r>
    </w:p>
    <w:bookmarkEnd w:id="46"/>
    <w:bookmarkStart w:id="47" w:name="when-4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22"/>
        </w:numPr>
      </w:pPr>
      <w:r>
        <w:t xml:space="preserve">Multi-year operational window</w:t>
      </w:r>
    </w:p>
    <w:bookmarkEnd w:id="47"/>
    <w:bookmarkStart w:id="48" w:name="where-4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23"/>
        </w:numPr>
      </w:pPr>
      <w:r>
        <w:t xml:space="preserve">Dedicated validation hall</w:t>
      </w:r>
    </w:p>
    <w:p>
      <w:pPr>
        <w:pStyle w:val="Compact"/>
        <w:numPr>
          <w:ilvl w:val="0"/>
          <w:numId w:val="1023"/>
        </w:numPr>
      </w:pPr>
      <w:r>
        <w:t xml:space="preserve">Physically isolated from production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hase-6-licensing-and-commercialization"/>
    <w:p>
      <w:pPr>
        <w:pStyle w:val="Heading2"/>
      </w:pPr>
      <w:r>
        <w:t xml:space="preserve">Phase 6: Licensing and Commercialization</w:t>
      </w:r>
    </w:p>
    <w:bookmarkStart w:id="50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Productize the integrated power-refinery system.</w:t>
      </w:r>
    </w:p>
    <w:bookmarkEnd w:id="50"/>
    <w:bookmarkStart w:id="51" w:name="how-5"/>
    <w:p>
      <w:pPr>
        <w:pStyle w:val="Heading3"/>
      </w:pPr>
      <w:r>
        <w:t xml:space="preserve">How</w:t>
      </w:r>
    </w:p>
    <w:p>
      <w:pPr>
        <w:pStyle w:val="Compact"/>
        <w:numPr>
          <w:ilvl w:val="0"/>
          <w:numId w:val="1024"/>
        </w:numPr>
      </w:pPr>
      <w:r>
        <w:t xml:space="preserve">License reactor as power and process heat system</w:t>
      </w:r>
    </w:p>
    <w:p>
      <w:pPr>
        <w:pStyle w:val="Compact"/>
        <w:numPr>
          <w:ilvl w:val="0"/>
          <w:numId w:val="1024"/>
        </w:numPr>
      </w:pPr>
      <w:r>
        <w:t xml:space="preserve">Offer integrated solution:</w:t>
      </w:r>
    </w:p>
    <w:p>
      <w:pPr>
        <w:pStyle w:val="Compact"/>
        <w:numPr>
          <w:ilvl w:val="1"/>
          <w:numId w:val="1025"/>
        </w:numPr>
      </w:pPr>
      <w:r>
        <w:t xml:space="preserve">Power</w:t>
      </w:r>
    </w:p>
    <w:p>
      <w:pPr>
        <w:pStyle w:val="Compact"/>
        <w:numPr>
          <w:ilvl w:val="1"/>
          <w:numId w:val="1025"/>
        </w:numPr>
      </w:pPr>
      <w:r>
        <w:t xml:space="preserve">Hydrogen</w:t>
      </w:r>
    </w:p>
    <w:p>
      <w:pPr>
        <w:pStyle w:val="Compact"/>
        <w:numPr>
          <w:ilvl w:val="1"/>
          <w:numId w:val="1025"/>
        </w:numPr>
      </w:pPr>
      <w:r>
        <w:t xml:space="preserve">Heat</w:t>
      </w:r>
    </w:p>
    <w:p>
      <w:pPr>
        <w:pStyle w:val="Compact"/>
        <w:numPr>
          <w:ilvl w:val="1"/>
          <w:numId w:val="1025"/>
        </w:numPr>
      </w:pPr>
      <w:r>
        <w:t xml:space="preserve">Control software</w:t>
      </w:r>
    </w:p>
    <w:p>
      <w:pPr>
        <w:pStyle w:val="Compact"/>
        <w:numPr>
          <w:ilvl w:val="0"/>
          <w:numId w:val="1024"/>
        </w:numPr>
      </w:pPr>
      <w:r>
        <w:t xml:space="preserve">Provide service-backed warranties and performance guarantees</w:t>
      </w:r>
    </w:p>
    <w:bookmarkEnd w:id="51"/>
    <w:bookmarkStart w:id="52" w:name="when-5"/>
    <w:p>
      <w:pPr>
        <w:pStyle w:val="Heading3"/>
      </w:pPr>
      <w:r>
        <w:t xml:space="preserve">When</w:t>
      </w:r>
    </w:p>
    <w:p>
      <w:pPr>
        <w:pStyle w:val="Compact"/>
        <w:numPr>
          <w:ilvl w:val="0"/>
          <w:numId w:val="1026"/>
        </w:numPr>
      </w:pPr>
      <w:r>
        <w:t xml:space="preserve">After multi-year operational proof</w:t>
      </w:r>
    </w:p>
    <w:p>
      <w:pPr>
        <w:pStyle w:val="Compact"/>
        <w:numPr>
          <w:ilvl w:val="0"/>
          <w:numId w:val="1026"/>
        </w:numPr>
      </w:pPr>
      <w:r>
        <w:t xml:space="preserve">Post insurer technical due diligence</w:t>
      </w:r>
    </w:p>
    <w:bookmarkEnd w:id="52"/>
    <w:bookmarkStart w:id="53" w:name="where-5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27"/>
        </w:numPr>
      </w:pPr>
      <w:r>
        <w:t xml:space="preserve">Target markets:</w:t>
      </w:r>
    </w:p>
    <w:p>
      <w:pPr>
        <w:pStyle w:val="Compact"/>
        <w:numPr>
          <w:ilvl w:val="1"/>
          <w:numId w:val="1028"/>
        </w:numPr>
      </w:pPr>
      <w:r>
        <w:t xml:space="preserve">Refineries</w:t>
      </w:r>
    </w:p>
    <w:p>
      <w:pPr>
        <w:pStyle w:val="Compact"/>
        <w:numPr>
          <w:ilvl w:val="1"/>
          <w:numId w:val="1028"/>
        </w:numPr>
      </w:pPr>
      <w:r>
        <w:t xml:space="preserve">Ammonia</w:t>
      </w:r>
    </w:p>
    <w:p>
      <w:pPr>
        <w:pStyle w:val="Compact"/>
        <w:numPr>
          <w:ilvl w:val="1"/>
          <w:numId w:val="1028"/>
        </w:numPr>
      </w:pPr>
      <w:r>
        <w:t xml:space="preserve">Synthetic fuels</w:t>
      </w:r>
    </w:p>
    <w:p>
      <w:pPr>
        <w:pStyle w:val="Compact"/>
        <w:numPr>
          <w:ilvl w:val="1"/>
          <w:numId w:val="1028"/>
        </w:numPr>
      </w:pPr>
      <w:r>
        <w:t xml:space="preserve">Steel</w:t>
      </w:r>
    </w:p>
    <w:p>
      <w:pPr>
        <w:pStyle w:val="Compact"/>
        <w:numPr>
          <w:ilvl w:val="1"/>
          <w:numId w:val="1028"/>
        </w:numPr>
      </w:pPr>
      <w:r>
        <w:t xml:space="preserve">Water desalination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pected-outcomes"/>
    <w:p>
      <w:pPr>
        <w:pStyle w:val="Heading2"/>
      </w:pPr>
      <w:r>
        <w:t xml:space="preserve">Expected Outcomes</w:t>
      </w:r>
    </w:p>
    <w:p>
      <w:pPr>
        <w:pStyle w:val="Compact"/>
        <w:numPr>
          <w:ilvl w:val="0"/>
          <w:numId w:val="1029"/>
        </w:numPr>
      </w:pPr>
      <w:r>
        <w:t xml:space="preserve">20% to 25% system-level efficiency improvement</w:t>
      </w:r>
    </w:p>
    <w:p>
      <w:pPr>
        <w:pStyle w:val="Compact"/>
        <w:numPr>
          <w:ilvl w:val="0"/>
          <w:numId w:val="1029"/>
        </w:numPr>
      </w:pPr>
      <w:r>
        <w:t xml:space="preserve">Reduced operating cost</w:t>
      </w:r>
    </w:p>
    <w:p>
      <w:pPr>
        <w:pStyle w:val="Compact"/>
        <w:numPr>
          <w:ilvl w:val="0"/>
          <w:numId w:val="1029"/>
        </w:numPr>
      </w:pPr>
      <w:r>
        <w:t xml:space="preserve">Improved SOEC stack life</w:t>
      </w:r>
    </w:p>
    <w:p>
      <w:pPr>
        <w:pStyle w:val="Compact"/>
        <w:numPr>
          <w:ilvl w:val="0"/>
          <w:numId w:val="1029"/>
        </w:numPr>
      </w:pPr>
      <w:r>
        <w:t xml:space="preserve">New industrial standard for power-paired refineries</w:t>
      </w:r>
    </w:p>
    <w:p>
      <w:r>
        <w:pict>
          <v:rect style="width:0;height:1.5pt" o:hralign="center" o:hrstd="t" o:hr="t"/>
        </w:pict>
      </w:r>
    </w:p>
    <w:bookmarkEnd w:id="55"/>
    <w:bookmarkStart w:id="5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roadmap creates a controlled path from insured production to category-defining infrastructure. It protects capital in the near term while positioning the platform to redefine how power and refining are built over the next century.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2026-01-15T00:41:04Z</dcterms:created>
  <dcterms:modified xsi:type="dcterms:W3CDTF">2026-01-15T00:41:04Z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