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18EF" w14:textId="13EA222E" w:rsidR="00490BEA" w:rsidRDefault="00543CE6">
      <w:r>
        <w:rPr>
          <w:noProof/>
        </w:rPr>
        <w:drawing>
          <wp:anchor distT="0" distB="0" distL="114300" distR="114300" simplePos="0" relativeHeight="251658240" behindDoc="0" locked="0" layoutInCell="1" allowOverlap="1" wp14:anchorId="6AB0AD47" wp14:editId="5992EC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57550" cy="3257550"/>
            <wp:effectExtent l="0" t="0" r="0" b="0"/>
            <wp:wrapSquare wrapText="bothSides"/>
            <wp:docPr id="1830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FE747C" wp14:editId="6643CF7E">
            <wp:extent cx="2477966" cy="3257550"/>
            <wp:effectExtent l="0" t="0" r="0" b="0"/>
            <wp:docPr id="75651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671" cy="327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6606">
        <w:pict w14:anchorId="6B6E4F08">
          <v:rect id="_x0000_i1025" style="width:0;height:1.5pt" o:hralign="center" o:hrstd="t" o:hr="t"/>
        </w:pict>
      </w:r>
    </w:p>
    <w:p w14:paraId="706205E8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ATB Laser Optical Comms Standards and Patent Review</w:t>
      </w:r>
    </w:p>
    <w:p w14:paraId="7B8993AF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Prepared by: Spear Enterprise LLC &amp; MECSAI</w:t>
      </w:r>
      <w:r w:rsidRPr="003A6A7E">
        <w:rPr>
          <w:b/>
          <w:bCs/>
        </w:rPr>
        <w:br/>
        <w:t>Date: October 16, 2025</w:t>
      </w:r>
    </w:p>
    <w:p w14:paraId="67F38AE5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3E27E2C1">
          <v:rect id="_x0000_i1095" style="width:0;height:1.5pt" o:hralign="center" o:hrstd="t" o:hr="t" fillcolor="#a0a0a0" stroked="f"/>
        </w:pict>
      </w:r>
    </w:p>
    <w:p w14:paraId="052469CF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Memorandum to the ATB</w:t>
      </w:r>
    </w:p>
    <w:p w14:paraId="60FBCBEA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To: ATB (Advisory Technical Board)</w:t>
      </w:r>
      <w:r w:rsidRPr="003A6A7E">
        <w:rPr>
          <w:b/>
          <w:bCs/>
        </w:rPr>
        <w:br/>
        <w:t>From: SDC &amp; COMMS Program Office</w:t>
      </w:r>
      <w:r w:rsidRPr="003A6A7E">
        <w:rPr>
          <w:b/>
          <w:bCs/>
        </w:rPr>
        <w:br/>
        <w:t>Subject: Strategic Analysis of NASA Optical Communications Standards, Data Accessibility, and Patent Landscape for ATB Review</w:t>
      </w:r>
    </w:p>
    <w:p w14:paraId="36CAC62C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NASA and the CCSDS have formally ratified the Optical On–Off Keying for Deep Space Links standard (Blue Book 142.1-B-1), building on CCSDS 141.0-B-1 (Physical Layer) and 142.0-B-1 (Coding &amp; Synchronization). This positions our GEO–LEO optical mesh relay to benefit from emerging international standardization, particularly for adaptive rate control and link-layer resilience in high-throughput environments.</w:t>
      </w:r>
    </w:p>
    <w:p w14:paraId="1C214A9F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This report details:</w:t>
      </w:r>
    </w:p>
    <w:p w14:paraId="443877EC" w14:textId="77777777" w:rsidR="003A6A7E" w:rsidRPr="003A6A7E" w:rsidRDefault="003A6A7E" w:rsidP="003A6A7E">
      <w:pPr>
        <w:numPr>
          <w:ilvl w:val="0"/>
          <w:numId w:val="3"/>
        </w:numPr>
        <w:rPr>
          <w:b/>
          <w:bCs/>
        </w:rPr>
      </w:pPr>
      <w:r w:rsidRPr="003A6A7E">
        <w:rPr>
          <w:b/>
          <w:bCs/>
        </w:rPr>
        <w:t xml:space="preserve">The current and upcoming CCSDS optical Blue Books and 142.xx Working Group </w:t>
      </w:r>
      <w:proofErr w:type="gramStart"/>
      <w:r w:rsidRPr="003A6A7E">
        <w:rPr>
          <w:b/>
          <w:bCs/>
        </w:rPr>
        <w:t>scope</w:t>
      </w:r>
      <w:proofErr w:type="gramEnd"/>
    </w:p>
    <w:p w14:paraId="455D817C" w14:textId="77777777" w:rsidR="003A6A7E" w:rsidRPr="003A6A7E" w:rsidRDefault="003A6A7E" w:rsidP="003A6A7E">
      <w:pPr>
        <w:numPr>
          <w:ilvl w:val="0"/>
          <w:numId w:val="3"/>
        </w:numPr>
        <w:rPr>
          <w:b/>
          <w:bCs/>
        </w:rPr>
      </w:pPr>
      <w:r w:rsidRPr="003A6A7E">
        <w:rPr>
          <w:b/>
          <w:bCs/>
        </w:rPr>
        <w:t>NASA’s Model Context Protocol (MCP) as a connective tool for real-time public data integration</w:t>
      </w:r>
    </w:p>
    <w:p w14:paraId="2F3D4957" w14:textId="77777777" w:rsidR="003A6A7E" w:rsidRPr="003A6A7E" w:rsidRDefault="003A6A7E" w:rsidP="003A6A7E">
      <w:pPr>
        <w:numPr>
          <w:ilvl w:val="0"/>
          <w:numId w:val="3"/>
        </w:numPr>
        <w:rPr>
          <w:b/>
          <w:bCs/>
        </w:rPr>
      </w:pPr>
      <w:r w:rsidRPr="003A6A7E">
        <w:rPr>
          <w:b/>
          <w:bCs/>
        </w:rPr>
        <w:lastRenderedPageBreak/>
        <w:t>A decade of laser optical communications patents (US and international)</w:t>
      </w:r>
    </w:p>
    <w:p w14:paraId="5D335988" w14:textId="77777777" w:rsidR="003A6A7E" w:rsidRPr="003A6A7E" w:rsidRDefault="003A6A7E" w:rsidP="003A6A7E">
      <w:pPr>
        <w:numPr>
          <w:ilvl w:val="0"/>
          <w:numId w:val="3"/>
        </w:numPr>
        <w:rPr>
          <w:b/>
          <w:bCs/>
        </w:rPr>
      </w:pPr>
      <w:r w:rsidRPr="003A6A7E">
        <w:rPr>
          <w:b/>
          <w:bCs/>
        </w:rPr>
        <w:t>Strategic implications for ATB compliance, licensing, and integration across SDC &amp; COMMS systems</w:t>
      </w:r>
    </w:p>
    <w:p w14:paraId="15FEA8D3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The full report with citations, linked references, and recommendations follows below.</w:t>
      </w:r>
    </w:p>
    <w:p w14:paraId="659F6823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1B32DED5">
          <v:rect id="_x0000_i1096" style="width:0;height:1.5pt" o:hralign="center" o:hrstd="t" o:hr="t" fillcolor="#a0a0a0" stroked="f"/>
        </w:pict>
      </w:r>
    </w:p>
    <w:p w14:paraId="2F6AFD7A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Contents</w:t>
      </w:r>
    </w:p>
    <w:p w14:paraId="368B0757" w14:textId="77777777" w:rsidR="003A6A7E" w:rsidRPr="003A6A7E" w:rsidRDefault="003A6A7E" w:rsidP="003A6A7E">
      <w:pPr>
        <w:numPr>
          <w:ilvl w:val="0"/>
          <w:numId w:val="4"/>
        </w:numPr>
        <w:rPr>
          <w:b/>
          <w:bCs/>
        </w:rPr>
      </w:pPr>
      <w:hyperlink r:id="rId7" w:anchor="1-nasa-blue-books-and-142xx-working-group-developments" w:history="1">
        <w:r w:rsidRPr="003A6A7E">
          <w:rPr>
            <w:rStyle w:val="Hyperlink"/>
            <w:b/>
            <w:bCs/>
          </w:rPr>
          <w:t>NASA Blue Books and 142.xx Working Group Developments</w:t>
        </w:r>
      </w:hyperlink>
    </w:p>
    <w:p w14:paraId="0EA55C2A" w14:textId="77777777" w:rsidR="003A6A7E" w:rsidRPr="003A6A7E" w:rsidRDefault="003A6A7E" w:rsidP="003A6A7E">
      <w:pPr>
        <w:numPr>
          <w:ilvl w:val="0"/>
          <w:numId w:val="4"/>
        </w:numPr>
        <w:rPr>
          <w:b/>
          <w:bCs/>
        </w:rPr>
      </w:pPr>
      <w:hyperlink r:id="rId8" w:anchor="2-nasa-mcp-model-context-protocol-and-real-time-data-interface" w:history="1">
        <w:r w:rsidRPr="003A6A7E">
          <w:rPr>
            <w:rStyle w:val="Hyperlink"/>
            <w:b/>
            <w:bCs/>
          </w:rPr>
          <w:t>NASA MCP (Model Context Protocol) and Real-Time Data Interface</w:t>
        </w:r>
      </w:hyperlink>
    </w:p>
    <w:p w14:paraId="78CD7CA3" w14:textId="77777777" w:rsidR="003A6A7E" w:rsidRPr="003A6A7E" w:rsidRDefault="003A6A7E" w:rsidP="003A6A7E">
      <w:pPr>
        <w:numPr>
          <w:ilvl w:val="0"/>
          <w:numId w:val="4"/>
        </w:numPr>
        <w:rPr>
          <w:b/>
          <w:bCs/>
        </w:rPr>
      </w:pPr>
      <w:hyperlink r:id="rId9" w:anchor="3-patent-review-laser-optical-communications-2015%E2%80%932025" w:history="1">
        <w:r w:rsidRPr="003A6A7E">
          <w:rPr>
            <w:rStyle w:val="Hyperlink"/>
            <w:b/>
            <w:bCs/>
          </w:rPr>
          <w:t>Patent Review: Laser Optical Communications, 2015–2025</w:t>
        </w:r>
      </w:hyperlink>
    </w:p>
    <w:p w14:paraId="7E33810E" w14:textId="77777777" w:rsidR="003A6A7E" w:rsidRPr="003A6A7E" w:rsidRDefault="003A6A7E" w:rsidP="003A6A7E">
      <w:pPr>
        <w:numPr>
          <w:ilvl w:val="0"/>
          <w:numId w:val="4"/>
        </w:numPr>
        <w:rPr>
          <w:b/>
          <w:bCs/>
        </w:rPr>
      </w:pPr>
      <w:hyperlink r:id="rId10" w:anchor="4-international-compatibility-and-cross-support-trends" w:history="1">
        <w:r w:rsidRPr="003A6A7E">
          <w:rPr>
            <w:rStyle w:val="Hyperlink"/>
            <w:b/>
            <w:bCs/>
          </w:rPr>
          <w:t>International Compatibility and Cross-Support Trends</w:t>
        </w:r>
      </w:hyperlink>
    </w:p>
    <w:p w14:paraId="18EB026E" w14:textId="77777777" w:rsidR="003A6A7E" w:rsidRPr="003A6A7E" w:rsidRDefault="003A6A7E" w:rsidP="003A6A7E">
      <w:pPr>
        <w:numPr>
          <w:ilvl w:val="0"/>
          <w:numId w:val="4"/>
        </w:numPr>
        <w:rPr>
          <w:b/>
          <w:bCs/>
        </w:rPr>
      </w:pPr>
      <w:hyperlink r:id="rId11" w:anchor="5-findings-and-recommendations" w:history="1">
        <w:r w:rsidRPr="003A6A7E">
          <w:rPr>
            <w:rStyle w:val="Hyperlink"/>
            <w:b/>
            <w:bCs/>
          </w:rPr>
          <w:t>Findings and Recommendations</w:t>
        </w:r>
      </w:hyperlink>
    </w:p>
    <w:p w14:paraId="0AC8F1AF" w14:textId="77777777" w:rsidR="003A6A7E" w:rsidRPr="003A6A7E" w:rsidRDefault="003A6A7E" w:rsidP="003A6A7E">
      <w:pPr>
        <w:numPr>
          <w:ilvl w:val="0"/>
          <w:numId w:val="4"/>
        </w:numPr>
        <w:rPr>
          <w:b/>
          <w:bCs/>
        </w:rPr>
      </w:pPr>
      <w:hyperlink r:id="rId12" w:anchor="6-appendices" w:history="1">
        <w:r w:rsidRPr="003A6A7E">
          <w:rPr>
            <w:rStyle w:val="Hyperlink"/>
            <w:b/>
            <w:bCs/>
          </w:rPr>
          <w:t>Appendices</w:t>
        </w:r>
      </w:hyperlink>
    </w:p>
    <w:p w14:paraId="59EC7122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099B4742">
          <v:rect id="_x0000_i1097" style="width:0;height:1.5pt" o:hralign="center" o:hrstd="t" o:hr="t" fillcolor="#a0a0a0" stroked="f"/>
        </w:pict>
      </w:r>
    </w:p>
    <w:p w14:paraId="5EBD05C8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1. NASA Blue Books and 142.xx Working Group Developments</w:t>
      </w:r>
    </w:p>
    <w:p w14:paraId="1493C118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1.1 Overview of CCSDS and Blue Books</w:t>
      </w:r>
    </w:p>
    <w:p w14:paraId="03637DBB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CCSDS (Consultative Committee for Space Data Systems) Blue Books represent international standards that define physical, link, and protocol layer standards for interoperability between space agencies and partners.</w:t>
      </w:r>
    </w:p>
    <w:p w14:paraId="1ADB1167" w14:textId="77777777" w:rsidR="003A6A7E" w:rsidRPr="003A6A7E" w:rsidRDefault="003A6A7E" w:rsidP="003A6A7E">
      <w:pPr>
        <w:numPr>
          <w:ilvl w:val="0"/>
          <w:numId w:val="5"/>
        </w:numPr>
        <w:rPr>
          <w:b/>
          <w:bCs/>
        </w:rPr>
      </w:pPr>
      <w:r w:rsidRPr="003A6A7E">
        <w:rPr>
          <w:b/>
          <w:bCs/>
        </w:rPr>
        <w:t>CCSDS 141.0-B-1 – Optical Communications Physical Layer</w:t>
      </w:r>
    </w:p>
    <w:p w14:paraId="6137652C" w14:textId="77777777" w:rsidR="003A6A7E" w:rsidRPr="003A6A7E" w:rsidRDefault="003A6A7E" w:rsidP="003A6A7E">
      <w:pPr>
        <w:numPr>
          <w:ilvl w:val="0"/>
          <w:numId w:val="5"/>
        </w:numPr>
        <w:rPr>
          <w:b/>
          <w:bCs/>
        </w:rPr>
      </w:pPr>
      <w:r w:rsidRPr="003A6A7E">
        <w:rPr>
          <w:b/>
          <w:bCs/>
        </w:rPr>
        <w:t>CCSDS 142.0-B-1 – Optical Communications Coding &amp; Synchronization</w:t>
      </w:r>
    </w:p>
    <w:p w14:paraId="25313123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 xml:space="preserve">NASA has </w:t>
      </w:r>
      <w:proofErr w:type="gramStart"/>
      <w:r w:rsidRPr="003A6A7E">
        <w:rPr>
          <w:b/>
          <w:bCs/>
        </w:rPr>
        <w:t>led</w:t>
      </w:r>
      <w:proofErr w:type="gramEnd"/>
      <w:r w:rsidRPr="003A6A7E">
        <w:rPr>
          <w:b/>
          <w:bCs/>
        </w:rPr>
        <w:t xml:space="preserve"> the development of these standards to ensure compatibility in optical space communication.</w:t>
      </w:r>
    </w:p>
    <w:p w14:paraId="6B36D19F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1.2 On–Off Keying Addendum and 142.xx Working Group</w:t>
      </w:r>
    </w:p>
    <w:p w14:paraId="3114ACA9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The 142.xx Working Group has been developing addenda for:</w:t>
      </w:r>
    </w:p>
    <w:p w14:paraId="01309874" w14:textId="77777777" w:rsidR="003A6A7E" w:rsidRPr="003A6A7E" w:rsidRDefault="003A6A7E" w:rsidP="003A6A7E">
      <w:pPr>
        <w:numPr>
          <w:ilvl w:val="0"/>
          <w:numId w:val="6"/>
        </w:numPr>
        <w:rPr>
          <w:b/>
          <w:bCs/>
        </w:rPr>
      </w:pPr>
      <w:r w:rsidRPr="003A6A7E">
        <w:rPr>
          <w:b/>
          <w:bCs/>
        </w:rPr>
        <w:t>Adaptive rate negotiation</w:t>
      </w:r>
    </w:p>
    <w:p w14:paraId="40555170" w14:textId="77777777" w:rsidR="003A6A7E" w:rsidRPr="003A6A7E" w:rsidRDefault="003A6A7E" w:rsidP="003A6A7E">
      <w:pPr>
        <w:numPr>
          <w:ilvl w:val="0"/>
          <w:numId w:val="6"/>
        </w:numPr>
        <w:rPr>
          <w:b/>
          <w:bCs/>
        </w:rPr>
      </w:pPr>
      <w:r w:rsidRPr="003A6A7E">
        <w:rPr>
          <w:b/>
          <w:bCs/>
        </w:rPr>
        <w:t>Link-layer error correction (FEC, ARQ)</w:t>
      </w:r>
    </w:p>
    <w:p w14:paraId="2422117A" w14:textId="77777777" w:rsidR="003A6A7E" w:rsidRPr="003A6A7E" w:rsidRDefault="003A6A7E" w:rsidP="003A6A7E">
      <w:pPr>
        <w:numPr>
          <w:ilvl w:val="0"/>
          <w:numId w:val="6"/>
        </w:numPr>
        <w:rPr>
          <w:b/>
          <w:bCs/>
        </w:rPr>
      </w:pPr>
      <w:r w:rsidRPr="003A6A7E">
        <w:rPr>
          <w:b/>
          <w:bCs/>
        </w:rPr>
        <w:t>Simplified on–off keying modulation for relay and lunar scenarios</w:t>
      </w:r>
    </w:p>
    <w:p w14:paraId="4A0547D1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They maintain interoperability objectives across international laser comm systems.</w:t>
      </w:r>
    </w:p>
    <w:p w14:paraId="47A0F63D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lastRenderedPageBreak/>
        <w:pict w14:anchorId="25095318">
          <v:rect id="_x0000_i1098" style="width:0;height:1.5pt" o:hralign="center" o:hrstd="t" o:hr="t" fillcolor="#a0a0a0" stroked="f"/>
        </w:pict>
      </w:r>
    </w:p>
    <w:p w14:paraId="05136FC9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2. NASA MCP (Model Context Protocol) and Real-Time Data Interface</w:t>
      </w:r>
    </w:p>
    <w:p w14:paraId="55B41B87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2.1 What is MCP?</w:t>
      </w:r>
    </w:p>
    <w:p w14:paraId="7990FC01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MCP (Model Context Protocol) enables AI systems and autonomous agents to access structured and real-time context from NASA’s public APIs and databases.</w:t>
      </w:r>
    </w:p>
    <w:p w14:paraId="4A20BD21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2.2 Relevant NASA MCP Endpoints</w:t>
      </w:r>
    </w:p>
    <w:p w14:paraId="6504841C" w14:textId="77777777" w:rsidR="003A6A7E" w:rsidRPr="003A6A7E" w:rsidRDefault="003A6A7E" w:rsidP="003A6A7E">
      <w:pPr>
        <w:numPr>
          <w:ilvl w:val="0"/>
          <w:numId w:val="7"/>
        </w:numPr>
        <w:rPr>
          <w:b/>
          <w:bCs/>
        </w:rPr>
      </w:pPr>
      <w:r w:rsidRPr="003A6A7E">
        <w:rPr>
          <w:b/>
          <w:bCs/>
        </w:rPr>
        <w:t>Planetary data APIs (Mars Rover, Near Earth Objects)</w:t>
      </w:r>
    </w:p>
    <w:p w14:paraId="794D204D" w14:textId="77777777" w:rsidR="003A6A7E" w:rsidRPr="003A6A7E" w:rsidRDefault="003A6A7E" w:rsidP="003A6A7E">
      <w:pPr>
        <w:numPr>
          <w:ilvl w:val="0"/>
          <w:numId w:val="7"/>
        </w:numPr>
        <w:rPr>
          <w:b/>
          <w:bCs/>
        </w:rPr>
      </w:pPr>
      <w:r w:rsidRPr="003A6A7E">
        <w:rPr>
          <w:b/>
          <w:bCs/>
        </w:rPr>
        <w:t>Earth observation (Landsat, MODIS, CMR)</w:t>
      </w:r>
    </w:p>
    <w:p w14:paraId="1EDD2D06" w14:textId="77777777" w:rsidR="003A6A7E" w:rsidRPr="003A6A7E" w:rsidRDefault="003A6A7E" w:rsidP="003A6A7E">
      <w:pPr>
        <w:numPr>
          <w:ilvl w:val="0"/>
          <w:numId w:val="7"/>
        </w:numPr>
        <w:rPr>
          <w:b/>
          <w:bCs/>
        </w:rPr>
      </w:pPr>
      <w:r w:rsidRPr="003A6A7E">
        <w:rPr>
          <w:b/>
          <w:bCs/>
        </w:rPr>
        <w:t>Telemetry archives and metadata registries</w:t>
      </w:r>
    </w:p>
    <w:p w14:paraId="26150D2F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2.3 MCP Integration Opportunities</w:t>
      </w:r>
    </w:p>
    <w:p w14:paraId="10A77AED" w14:textId="77777777" w:rsidR="003A6A7E" w:rsidRPr="003A6A7E" w:rsidRDefault="003A6A7E" w:rsidP="003A6A7E">
      <w:pPr>
        <w:numPr>
          <w:ilvl w:val="0"/>
          <w:numId w:val="8"/>
        </w:numPr>
        <w:rPr>
          <w:b/>
          <w:bCs/>
        </w:rPr>
      </w:pPr>
      <w:r w:rsidRPr="003A6A7E">
        <w:rPr>
          <w:b/>
          <w:bCs/>
        </w:rPr>
        <w:t>Plug-in data fusion from MCP for link-state prediction</w:t>
      </w:r>
    </w:p>
    <w:p w14:paraId="04238814" w14:textId="77777777" w:rsidR="003A6A7E" w:rsidRPr="003A6A7E" w:rsidRDefault="003A6A7E" w:rsidP="003A6A7E">
      <w:pPr>
        <w:numPr>
          <w:ilvl w:val="0"/>
          <w:numId w:val="8"/>
        </w:numPr>
        <w:rPr>
          <w:b/>
          <w:bCs/>
        </w:rPr>
      </w:pPr>
      <w:r w:rsidRPr="003A6A7E">
        <w:rPr>
          <w:b/>
          <w:bCs/>
        </w:rPr>
        <w:t>Change-detection event routing</w:t>
      </w:r>
    </w:p>
    <w:p w14:paraId="622820A9" w14:textId="77777777" w:rsidR="003A6A7E" w:rsidRPr="003A6A7E" w:rsidRDefault="003A6A7E" w:rsidP="003A6A7E">
      <w:pPr>
        <w:numPr>
          <w:ilvl w:val="0"/>
          <w:numId w:val="8"/>
        </w:numPr>
        <w:rPr>
          <w:b/>
          <w:bCs/>
        </w:rPr>
      </w:pPr>
      <w:r w:rsidRPr="003A6A7E">
        <w:rPr>
          <w:b/>
          <w:bCs/>
        </w:rPr>
        <w:t xml:space="preserve">Compliance baseline alignment with LNIS, ICSIS, </w:t>
      </w:r>
      <w:proofErr w:type="spellStart"/>
      <w:r w:rsidRPr="003A6A7E">
        <w:rPr>
          <w:b/>
          <w:bCs/>
        </w:rPr>
        <w:t>SCaN</w:t>
      </w:r>
      <w:proofErr w:type="spellEnd"/>
      <w:r w:rsidRPr="003A6A7E">
        <w:rPr>
          <w:b/>
          <w:bCs/>
        </w:rPr>
        <w:t>-MOCS</w:t>
      </w:r>
    </w:p>
    <w:p w14:paraId="3879D27B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MCP modules developed for SDC &amp; COMMS now include schema handlers for time-series events, crosswalk clause diffs, and tasking automation.</w:t>
      </w:r>
    </w:p>
    <w:p w14:paraId="348C7F6B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71C58852">
          <v:rect id="_x0000_i1099" style="width:0;height:1.5pt" o:hralign="center" o:hrstd="t" o:hr="t" fillcolor="#a0a0a0" stroked="f"/>
        </w:pict>
      </w:r>
    </w:p>
    <w:p w14:paraId="0D00F155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3. Patent Review: Laser Optical Communications, 2015–2025</w:t>
      </w:r>
    </w:p>
    <w:p w14:paraId="78370BF6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3.1 NASA Patents</w:t>
      </w:r>
    </w:p>
    <w:p w14:paraId="72D2E482" w14:textId="77777777" w:rsidR="003A6A7E" w:rsidRPr="003A6A7E" w:rsidRDefault="003A6A7E" w:rsidP="003A6A7E">
      <w:pPr>
        <w:numPr>
          <w:ilvl w:val="0"/>
          <w:numId w:val="9"/>
        </w:numPr>
        <w:rPr>
          <w:b/>
          <w:bCs/>
        </w:rPr>
      </w:pPr>
      <w:r w:rsidRPr="003A6A7E">
        <w:rPr>
          <w:b/>
          <w:bCs/>
        </w:rPr>
        <w:t>Static laser pointing array – Ames Research Center: electronic beam steering without gimbals</w:t>
      </w:r>
    </w:p>
    <w:p w14:paraId="1F955114" w14:textId="77777777" w:rsidR="003A6A7E" w:rsidRPr="003A6A7E" w:rsidRDefault="003A6A7E" w:rsidP="003A6A7E">
      <w:pPr>
        <w:numPr>
          <w:ilvl w:val="0"/>
          <w:numId w:val="9"/>
        </w:numPr>
        <w:rPr>
          <w:b/>
          <w:bCs/>
        </w:rPr>
      </w:pPr>
      <w:r w:rsidRPr="003A6A7E">
        <w:rPr>
          <w:b/>
          <w:bCs/>
        </w:rPr>
        <w:t>High-rate optical downlink (TBIRD architecture) – MIT Lincoln Labs with NASA</w:t>
      </w:r>
    </w:p>
    <w:p w14:paraId="3E543DDD" w14:textId="77777777" w:rsidR="003A6A7E" w:rsidRPr="003A6A7E" w:rsidRDefault="003A6A7E" w:rsidP="003A6A7E">
      <w:pPr>
        <w:numPr>
          <w:ilvl w:val="0"/>
          <w:numId w:val="9"/>
        </w:numPr>
        <w:rPr>
          <w:b/>
          <w:bCs/>
        </w:rPr>
      </w:pPr>
      <w:r w:rsidRPr="003A6A7E">
        <w:rPr>
          <w:b/>
          <w:bCs/>
        </w:rPr>
        <w:t>Quantum-enhanced secure links – Glenn Research Center: photon pair timing and entanglement</w:t>
      </w:r>
    </w:p>
    <w:p w14:paraId="40D619B5" w14:textId="77777777" w:rsidR="003A6A7E" w:rsidRPr="003A6A7E" w:rsidRDefault="003A6A7E" w:rsidP="003A6A7E">
      <w:pPr>
        <w:numPr>
          <w:ilvl w:val="0"/>
          <w:numId w:val="9"/>
        </w:numPr>
        <w:rPr>
          <w:b/>
          <w:bCs/>
        </w:rPr>
      </w:pPr>
      <w:r w:rsidRPr="003A6A7E">
        <w:rPr>
          <w:b/>
          <w:bCs/>
        </w:rPr>
        <w:t>Multi-beam reconfigurable phase array – Goddard Space Flight Center</w:t>
      </w:r>
    </w:p>
    <w:p w14:paraId="70A50719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3.2 Commercial and Academic Patents</w:t>
      </w:r>
    </w:p>
    <w:p w14:paraId="060E3BD4" w14:textId="77777777" w:rsidR="003A6A7E" w:rsidRPr="003A6A7E" w:rsidRDefault="003A6A7E" w:rsidP="003A6A7E">
      <w:pPr>
        <w:numPr>
          <w:ilvl w:val="0"/>
          <w:numId w:val="10"/>
        </w:numPr>
        <w:rPr>
          <w:b/>
          <w:bCs/>
        </w:rPr>
      </w:pPr>
      <w:proofErr w:type="spellStart"/>
      <w:r w:rsidRPr="003A6A7E">
        <w:rPr>
          <w:b/>
          <w:bCs/>
        </w:rPr>
        <w:t>Tesat</w:t>
      </w:r>
      <w:proofErr w:type="spellEnd"/>
      <w:r w:rsidRPr="003A6A7E">
        <w:rPr>
          <w:b/>
          <w:bCs/>
        </w:rPr>
        <w:t xml:space="preserve"> (EDRS terminals)</w:t>
      </w:r>
    </w:p>
    <w:p w14:paraId="6B19DD4C" w14:textId="77777777" w:rsidR="003A6A7E" w:rsidRPr="003A6A7E" w:rsidRDefault="003A6A7E" w:rsidP="003A6A7E">
      <w:pPr>
        <w:numPr>
          <w:ilvl w:val="0"/>
          <w:numId w:val="10"/>
        </w:numPr>
        <w:rPr>
          <w:b/>
          <w:bCs/>
        </w:rPr>
      </w:pPr>
      <w:r w:rsidRPr="003A6A7E">
        <w:rPr>
          <w:b/>
          <w:bCs/>
        </w:rPr>
        <w:t>SpaceX (Starlink ISL architecture)</w:t>
      </w:r>
    </w:p>
    <w:p w14:paraId="5A4BB008" w14:textId="77777777" w:rsidR="003A6A7E" w:rsidRPr="003A6A7E" w:rsidRDefault="003A6A7E" w:rsidP="003A6A7E">
      <w:pPr>
        <w:numPr>
          <w:ilvl w:val="0"/>
          <w:numId w:val="10"/>
        </w:numPr>
        <w:rPr>
          <w:b/>
          <w:bCs/>
        </w:rPr>
      </w:pPr>
      <w:proofErr w:type="spellStart"/>
      <w:r w:rsidRPr="003A6A7E">
        <w:rPr>
          <w:b/>
          <w:bCs/>
        </w:rPr>
        <w:t>OptiPulse</w:t>
      </w:r>
      <w:proofErr w:type="spellEnd"/>
      <w:r w:rsidRPr="003A6A7E">
        <w:rPr>
          <w:b/>
          <w:bCs/>
        </w:rPr>
        <w:t xml:space="preserve"> (short-range optical networking)</w:t>
      </w:r>
    </w:p>
    <w:p w14:paraId="24AD13D3" w14:textId="77777777" w:rsidR="003A6A7E" w:rsidRPr="003A6A7E" w:rsidRDefault="003A6A7E" w:rsidP="003A6A7E">
      <w:pPr>
        <w:numPr>
          <w:ilvl w:val="0"/>
          <w:numId w:val="10"/>
        </w:numPr>
        <w:rPr>
          <w:b/>
          <w:bCs/>
        </w:rPr>
      </w:pPr>
      <w:r w:rsidRPr="003A6A7E">
        <w:rPr>
          <w:b/>
          <w:bCs/>
        </w:rPr>
        <w:lastRenderedPageBreak/>
        <w:t>Bath University (ISL alignment techniques)</w:t>
      </w:r>
    </w:p>
    <w:p w14:paraId="1EDE553B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 xml:space="preserve">Patents are cataloged by grant </w:t>
      </w:r>
      <w:proofErr w:type="gramStart"/>
      <w:r w:rsidRPr="003A6A7E">
        <w:rPr>
          <w:b/>
          <w:bCs/>
        </w:rPr>
        <w:t>number</w:t>
      </w:r>
      <w:proofErr w:type="gramEnd"/>
      <w:r w:rsidRPr="003A6A7E">
        <w:rPr>
          <w:b/>
          <w:bCs/>
        </w:rPr>
        <w:t xml:space="preserve"> in Appendix B.</w:t>
      </w:r>
    </w:p>
    <w:p w14:paraId="5278682A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420BB25E">
          <v:rect id="_x0000_i1100" style="width:0;height:1.5pt" o:hralign="center" o:hrstd="t" o:hr="t" fillcolor="#a0a0a0" stroked="f"/>
        </w:pict>
      </w:r>
    </w:p>
    <w:p w14:paraId="7040E1C8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4. International Compatibility and Cross-Support Trends</w:t>
      </w:r>
    </w:p>
    <w:p w14:paraId="04229D49" w14:textId="77777777" w:rsidR="003A6A7E" w:rsidRPr="003A6A7E" w:rsidRDefault="003A6A7E" w:rsidP="003A6A7E">
      <w:pPr>
        <w:numPr>
          <w:ilvl w:val="0"/>
          <w:numId w:val="11"/>
        </w:numPr>
        <w:rPr>
          <w:b/>
          <w:bCs/>
        </w:rPr>
      </w:pPr>
      <w:r w:rsidRPr="003A6A7E">
        <w:rPr>
          <w:b/>
          <w:bCs/>
        </w:rPr>
        <w:t xml:space="preserve">ESA – </w:t>
      </w:r>
      <w:proofErr w:type="spellStart"/>
      <w:r w:rsidRPr="003A6A7E">
        <w:rPr>
          <w:b/>
          <w:bCs/>
        </w:rPr>
        <w:t>ScyLight</w:t>
      </w:r>
      <w:proofErr w:type="spellEnd"/>
      <w:r w:rsidRPr="003A6A7E">
        <w:rPr>
          <w:b/>
          <w:bCs/>
        </w:rPr>
        <w:t xml:space="preserve"> program, EDRS integration with CCSDS</w:t>
      </w:r>
    </w:p>
    <w:p w14:paraId="3EF8B517" w14:textId="77777777" w:rsidR="003A6A7E" w:rsidRPr="003A6A7E" w:rsidRDefault="003A6A7E" w:rsidP="003A6A7E">
      <w:pPr>
        <w:numPr>
          <w:ilvl w:val="0"/>
          <w:numId w:val="11"/>
        </w:numPr>
        <w:rPr>
          <w:b/>
          <w:bCs/>
        </w:rPr>
      </w:pPr>
      <w:r w:rsidRPr="003A6A7E">
        <w:rPr>
          <w:b/>
          <w:bCs/>
        </w:rPr>
        <w:t>JAXA – OICETS heritage and upcoming lunar optical missions</w:t>
      </w:r>
    </w:p>
    <w:p w14:paraId="6647F657" w14:textId="77777777" w:rsidR="003A6A7E" w:rsidRPr="003A6A7E" w:rsidRDefault="003A6A7E" w:rsidP="003A6A7E">
      <w:pPr>
        <w:numPr>
          <w:ilvl w:val="0"/>
          <w:numId w:val="11"/>
        </w:numPr>
        <w:rPr>
          <w:b/>
          <w:bCs/>
        </w:rPr>
      </w:pPr>
      <w:r w:rsidRPr="003A6A7E">
        <w:rPr>
          <w:b/>
          <w:bCs/>
        </w:rPr>
        <w:t xml:space="preserve">CNES, DLR – </w:t>
      </w:r>
      <w:proofErr w:type="spellStart"/>
      <w:r w:rsidRPr="003A6A7E">
        <w:rPr>
          <w:b/>
          <w:bCs/>
        </w:rPr>
        <w:t>SCaN</w:t>
      </w:r>
      <w:proofErr w:type="spellEnd"/>
      <w:r w:rsidRPr="003A6A7E">
        <w:rPr>
          <w:b/>
          <w:bCs/>
        </w:rPr>
        <w:t>-MOCS adoption and relay cross-certification</w:t>
      </w:r>
    </w:p>
    <w:p w14:paraId="71C25047" w14:textId="77777777" w:rsidR="003A6A7E" w:rsidRPr="003A6A7E" w:rsidRDefault="003A6A7E" w:rsidP="003A6A7E">
      <w:pPr>
        <w:numPr>
          <w:ilvl w:val="0"/>
          <w:numId w:val="11"/>
        </w:numPr>
        <w:rPr>
          <w:b/>
          <w:bCs/>
        </w:rPr>
      </w:pPr>
      <w:r w:rsidRPr="003A6A7E">
        <w:rPr>
          <w:b/>
          <w:bCs/>
        </w:rPr>
        <w:t>IOAG Coordination – Building globally accessible optical ground station networks</w:t>
      </w:r>
    </w:p>
    <w:p w14:paraId="468EAA7B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Our relay mesh and DTN design is positioned for interagency node compatibility.</w:t>
      </w:r>
    </w:p>
    <w:p w14:paraId="6A2EFFBB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55C68E4C">
          <v:rect id="_x0000_i1101" style="width:0;height:1.5pt" o:hralign="center" o:hrstd="t" o:hr="t" fillcolor="#a0a0a0" stroked="f"/>
        </w:pict>
      </w:r>
    </w:p>
    <w:p w14:paraId="28159AFA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5. Findings and Recommendations</w:t>
      </w:r>
    </w:p>
    <w:p w14:paraId="5FE72DD4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5.1 Key Findings</w:t>
      </w:r>
    </w:p>
    <w:p w14:paraId="42D60305" w14:textId="77777777" w:rsidR="003A6A7E" w:rsidRPr="003A6A7E" w:rsidRDefault="003A6A7E" w:rsidP="003A6A7E">
      <w:pPr>
        <w:numPr>
          <w:ilvl w:val="0"/>
          <w:numId w:val="12"/>
        </w:numPr>
        <w:rPr>
          <w:b/>
          <w:bCs/>
        </w:rPr>
      </w:pPr>
      <w:r w:rsidRPr="003A6A7E">
        <w:rPr>
          <w:b/>
          <w:bCs/>
        </w:rPr>
        <w:t>CCSDS Blue Books are the global reference for optical comm</w:t>
      </w:r>
    </w:p>
    <w:p w14:paraId="273EAAF6" w14:textId="77777777" w:rsidR="003A6A7E" w:rsidRPr="003A6A7E" w:rsidRDefault="003A6A7E" w:rsidP="003A6A7E">
      <w:pPr>
        <w:numPr>
          <w:ilvl w:val="0"/>
          <w:numId w:val="12"/>
        </w:numPr>
        <w:rPr>
          <w:b/>
          <w:bCs/>
        </w:rPr>
      </w:pPr>
      <w:r w:rsidRPr="003A6A7E">
        <w:rPr>
          <w:b/>
          <w:bCs/>
        </w:rPr>
        <w:t>MCP enables AI-driven compliance, routing, and data access</w:t>
      </w:r>
    </w:p>
    <w:p w14:paraId="2A317889" w14:textId="77777777" w:rsidR="003A6A7E" w:rsidRPr="003A6A7E" w:rsidRDefault="003A6A7E" w:rsidP="003A6A7E">
      <w:pPr>
        <w:numPr>
          <w:ilvl w:val="0"/>
          <w:numId w:val="12"/>
        </w:numPr>
        <w:rPr>
          <w:b/>
          <w:bCs/>
        </w:rPr>
      </w:pPr>
      <w:r w:rsidRPr="003A6A7E">
        <w:rPr>
          <w:b/>
          <w:bCs/>
        </w:rPr>
        <w:t>Patent landscape shows maturing, modular optical systems</w:t>
      </w:r>
    </w:p>
    <w:p w14:paraId="46E9D917" w14:textId="77777777" w:rsidR="003A6A7E" w:rsidRPr="003A6A7E" w:rsidRDefault="003A6A7E" w:rsidP="003A6A7E">
      <w:pPr>
        <w:numPr>
          <w:ilvl w:val="0"/>
          <w:numId w:val="12"/>
        </w:numPr>
        <w:rPr>
          <w:b/>
          <w:bCs/>
        </w:rPr>
      </w:pPr>
      <w:r w:rsidRPr="003A6A7E">
        <w:rPr>
          <w:b/>
          <w:bCs/>
        </w:rPr>
        <w:t>International partners align to NASA-led protocol and timing regimes</w:t>
      </w:r>
    </w:p>
    <w:p w14:paraId="143A1F79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5.2 Recommendations</w:t>
      </w:r>
    </w:p>
    <w:p w14:paraId="14D62FD0" w14:textId="77777777" w:rsidR="003A6A7E" w:rsidRPr="003A6A7E" w:rsidRDefault="003A6A7E" w:rsidP="003A6A7E">
      <w:pPr>
        <w:numPr>
          <w:ilvl w:val="0"/>
          <w:numId w:val="13"/>
        </w:numPr>
        <w:rPr>
          <w:b/>
          <w:bCs/>
        </w:rPr>
      </w:pPr>
      <w:r w:rsidRPr="003A6A7E">
        <w:rPr>
          <w:b/>
          <w:bCs/>
        </w:rPr>
        <w:t>Adopt 141.0-B-1 and 142.0-B-1 baseline compliance for all optical terminals</w:t>
      </w:r>
    </w:p>
    <w:p w14:paraId="77F503A5" w14:textId="77777777" w:rsidR="003A6A7E" w:rsidRPr="003A6A7E" w:rsidRDefault="003A6A7E" w:rsidP="003A6A7E">
      <w:pPr>
        <w:numPr>
          <w:ilvl w:val="0"/>
          <w:numId w:val="13"/>
        </w:numPr>
        <w:rPr>
          <w:b/>
          <w:bCs/>
        </w:rPr>
      </w:pPr>
      <w:r w:rsidRPr="003A6A7E">
        <w:rPr>
          <w:b/>
          <w:bCs/>
        </w:rPr>
        <w:t>Integrate NASA MCP endpoint ingestion into MECSAI and routing AI</w:t>
      </w:r>
    </w:p>
    <w:p w14:paraId="0D99BCEB" w14:textId="77777777" w:rsidR="003A6A7E" w:rsidRPr="003A6A7E" w:rsidRDefault="003A6A7E" w:rsidP="003A6A7E">
      <w:pPr>
        <w:numPr>
          <w:ilvl w:val="0"/>
          <w:numId w:val="13"/>
        </w:numPr>
        <w:rPr>
          <w:b/>
          <w:bCs/>
        </w:rPr>
      </w:pPr>
      <w:r w:rsidRPr="003A6A7E">
        <w:rPr>
          <w:b/>
          <w:bCs/>
        </w:rPr>
        <w:t>Pursue NASA patent licensing for static beam and multiplexed laser techniques</w:t>
      </w:r>
    </w:p>
    <w:p w14:paraId="5DF12D1B" w14:textId="77777777" w:rsidR="003A6A7E" w:rsidRPr="003A6A7E" w:rsidRDefault="003A6A7E" w:rsidP="003A6A7E">
      <w:pPr>
        <w:numPr>
          <w:ilvl w:val="0"/>
          <w:numId w:val="13"/>
        </w:numPr>
        <w:rPr>
          <w:b/>
          <w:bCs/>
        </w:rPr>
      </w:pPr>
      <w:r w:rsidRPr="003A6A7E">
        <w:rPr>
          <w:b/>
          <w:bCs/>
        </w:rPr>
        <w:t>Publish cross-support readiness for international partner trials</w:t>
      </w:r>
    </w:p>
    <w:p w14:paraId="085C4552" w14:textId="77777777" w:rsidR="003A6A7E" w:rsidRPr="003A6A7E" w:rsidRDefault="003A6A7E" w:rsidP="003A6A7E">
      <w:pPr>
        <w:numPr>
          <w:ilvl w:val="0"/>
          <w:numId w:val="13"/>
        </w:numPr>
        <w:rPr>
          <w:b/>
          <w:bCs/>
        </w:rPr>
      </w:pPr>
      <w:r w:rsidRPr="003A6A7E">
        <w:rPr>
          <w:b/>
          <w:bCs/>
        </w:rPr>
        <w:t>Implement quarterly spec change tracking using MCP delta routing tools</w:t>
      </w:r>
    </w:p>
    <w:p w14:paraId="56DC0C77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3D4DE4C2">
          <v:rect id="_x0000_i1102" style="width:0;height:1.5pt" o:hralign="center" o:hrstd="t" o:hr="t" fillcolor="#a0a0a0" stroked="f"/>
        </w:pict>
      </w:r>
    </w:p>
    <w:p w14:paraId="52D71B7A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6. Appendices</w:t>
      </w:r>
    </w:p>
    <w:p w14:paraId="214606E4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Appendix A – Source Links</w:t>
      </w:r>
    </w:p>
    <w:p w14:paraId="16831E11" w14:textId="77777777" w:rsidR="003A6A7E" w:rsidRPr="003A6A7E" w:rsidRDefault="003A6A7E" w:rsidP="003A6A7E">
      <w:pPr>
        <w:numPr>
          <w:ilvl w:val="0"/>
          <w:numId w:val="14"/>
        </w:numPr>
        <w:rPr>
          <w:b/>
          <w:bCs/>
        </w:rPr>
      </w:pPr>
      <w:hyperlink r:id="rId13" w:history="1">
        <w:r w:rsidRPr="003A6A7E">
          <w:rPr>
            <w:rStyle w:val="Hyperlink"/>
            <w:b/>
            <w:bCs/>
          </w:rPr>
          <w:t>CCSDS Optical Standards</w:t>
        </w:r>
      </w:hyperlink>
    </w:p>
    <w:p w14:paraId="3F251F5C" w14:textId="77777777" w:rsidR="003A6A7E" w:rsidRPr="003A6A7E" w:rsidRDefault="003A6A7E" w:rsidP="003A6A7E">
      <w:pPr>
        <w:numPr>
          <w:ilvl w:val="0"/>
          <w:numId w:val="14"/>
        </w:numPr>
        <w:rPr>
          <w:b/>
          <w:bCs/>
        </w:rPr>
      </w:pPr>
      <w:hyperlink r:id="rId14" w:history="1">
        <w:r w:rsidRPr="003A6A7E">
          <w:rPr>
            <w:rStyle w:val="Hyperlink"/>
            <w:b/>
            <w:bCs/>
          </w:rPr>
          <w:t>NASA MCP GitHub</w:t>
        </w:r>
      </w:hyperlink>
    </w:p>
    <w:p w14:paraId="0E30D435" w14:textId="2F6E8D48" w:rsidR="003A6A7E" w:rsidRPr="003A6A7E" w:rsidRDefault="003A6A7E" w:rsidP="003A6A7E">
      <w:pPr>
        <w:numPr>
          <w:ilvl w:val="0"/>
          <w:numId w:val="14"/>
        </w:numPr>
        <w:rPr>
          <w:b/>
          <w:bCs/>
        </w:rPr>
      </w:pPr>
      <w:hyperlink r:id="rId15" w:history="1">
        <w:r w:rsidRPr="003A6A7E">
          <w:rPr>
            <w:rStyle w:val="Hyperlink"/>
            <w:b/>
            <w:bCs/>
          </w:rPr>
          <w:t>MIT Lincoln Lab TBIRD overview</w:t>
        </w:r>
      </w:hyperlink>
    </w:p>
    <w:p w14:paraId="0249A92F" w14:textId="77777777" w:rsidR="003A6A7E" w:rsidRPr="003A6A7E" w:rsidRDefault="003A6A7E" w:rsidP="003A6A7E">
      <w:pPr>
        <w:numPr>
          <w:ilvl w:val="0"/>
          <w:numId w:val="14"/>
        </w:numPr>
        <w:rPr>
          <w:b/>
          <w:bCs/>
        </w:rPr>
      </w:pPr>
      <w:hyperlink r:id="rId16" w:history="1">
        <w:r w:rsidRPr="003A6A7E">
          <w:rPr>
            <w:rStyle w:val="Hyperlink"/>
            <w:b/>
            <w:bCs/>
          </w:rPr>
          <w:t>NASA Tech Transfer (Patent Server)</w:t>
        </w:r>
      </w:hyperlink>
    </w:p>
    <w:p w14:paraId="5EEC1ED4" w14:textId="7FEDEE19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Appendix B – Patent References (Partial List)</w:t>
      </w:r>
    </w:p>
    <w:p w14:paraId="2367920C" w14:textId="520122A3" w:rsidR="003A6A7E" w:rsidRPr="003A6A7E" w:rsidRDefault="003A6A7E" w:rsidP="003A6A7E">
      <w:pPr>
        <w:numPr>
          <w:ilvl w:val="0"/>
          <w:numId w:val="15"/>
        </w:numPr>
        <w:rPr>
          <w:b/>
          <w:bCs/>
        </w:rPr>
      </w:pPr>
      <w:r w:rsidRPr="003A6A7E">
        <w:rPr>
          <w:b/>
          <w:bCs/>
        </w:rPr>
        <w:t>US9774395B2 – Electronic Beam Steering (Ames)</w:t>
      </w:r>
    </w:p>
    <w:p w14:paraId="575A9779" w14:textId="02868A78" w:rsidR="003A6A7E" w:rsidRPr="003A6A7E" w:rsidRDefault="003A6A7E" w:rsidP="003A6A7E">
      <w:pPr>
        <w:numPr>
          <w:ilvl w:val="0"/>
          <w:numId w:val="15"/>
        </w:numPr>
        <w:rPr>
          <w:b/>
          <w:bCs/>
        </w:rPr>
      </w:pPr>
      <w:r w:rsidRPr="003A6A7E">
        <w:rPr>
          <w:b/>
          <w:bCs/>
        </w:rPr>
        <w:t>US9998221B2 – Multi-wavelength Downlink System (Lincoln Lab)</w:t>
      </w:r>
    </w:p>
    <w:p w14:paraId="4971D0E0" w14:textId="77777777" w:rsidR="003A6A7E" w:rsidRPr="003A6A7E" w:rsidRDefault="003A6A7E" w:rsidP="003A6A7E">
      <w:pPr>
        <w:numPr>
          <w:ilvl w:val="0"/>
          <w:numId w:val="15"/>
        </w:numPr>
        <w:rPr>
          <w:b/>
          <w:bCs/>
        </w:rPr>
      </w:pPr>
      <w:r w:rsidRPr="003A6A7E">
        <w:rPr>
          <w:b/>
          <w:bCs/>
        </w:rPr>
        <w:t>US8995842B2 – Quantum Photon Timing Link (Glenn)</w:t>
      </w:r>
    </w:p>
    <w:p w14:paraId="2E670C00" w14:textId="7F6AD041" w:rsidR="003A6A7E" w:rsidRPr="003A6A7E" w:rsidRDefault="003A6A7E" w:rsidP="003A6A7E">
      <w:pPr>
        <w:numPr>
          <w:ilvl w:val="0"/>
          <w:numId w:val="15"/>
        </w:numPr>
        <w:rPr>
          <w:b/>
          <w:bCs/>
        </w:rPr>
      </w:pPr>
      <w:r w:rsidRPr="003A6A7E">
        <w:rPr>
          <w:b/>
          <w:bCs/>
        </w:rPr>
        <w:t>EP3532123A1 – Optical ISL Tracking Stabilizer (ESA)</w:t>
      </w:r>
    </w:p>
    <w:p w14:paraId="424421AF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t>Appendix C – MCP Integration Tools</w:t>
      </w:r>
    </w:p>
    <w:p w14:paraId="4ACD0D91" w14:textId="022C6E2D" w:rsidR="003A6A7E" w:rsidRPr="003A6A7E" w:rsidRDefault="003A6A7E" w:rsidP="003A6A7E">
      <w:pPr>
        <w:numPr>
          <w:ilvl w:val="0"/>
          <w:numId w:val="16"/>
        </w:numPr>
        <w:rPr>
          <w:b/>
          <w:bCs/>
        </w:rPr>
      </w:pPr>
      <w:r w:rsidRPr="003A6A7E">
        <w:rPr>
          <w:b/>
          <w:bCs/>
        </w:rPr>
        <w:t>Delta JSON schema, event class mapping</w:t>
      </w:r>
    </w:p>
    <w:p w14:paraId="378E4918" w14:textId="77777777" w:rsidR="003A6A7E" w:rsidRPr="003A6A7E" w:rsidRDefault="003A6A7E" w:rsidP="003A6A7E">
      <w:pPr>
        <w:numPr>
          <w:ilvl w:val="0"/>
          <w:numId w:val="16"/>
        </w:numPr>
        <w:rPr>
          <w:b/>
          <w:bCs/>
        </w:rPr>
      </w:pPr>
      <w:r w:rsidRPr="003A6A7E">
        <w:rPr>
          <w:b/>
          <w:bCs/>
        </w:rPr>
        <w:t>Crosswalk v0.1 clause alignment table</w:t>
      </w:r>
    </w:p>
    <w:p w14:paraId="6896FA41" w14:textId="77777777" w:rsidR="003A6A7E" w:rsidRPr="003A6A7E" w:rsidRDefault="003A6A7E" w:rsidP="003A6A7E">
      <w:pPr>
        <w:numPr>
          <w:ilvl w:val="0"/>
          <w:numId w:val="16"/>
        </w:numPr>
        <w:rPr>
          <w:b/>
          <w:bCs/>
        </w:rPr>
      </w:pPr>
      <w:r w:rsidRPr="003A6A7E">
        <w:rPr>
          <w:b/>
          <w:bCs/>
        </w:rPr>
        <w:t>Change Detection Playbook</w:t>
      </w:r>
    </w:p>
    <w:p w14:paraId="030B75F8" w14:textId="77777777" w:rsidR="003A6A7E" w:rsidRPr="003A6A7E" w:rsidRDefault="003A6A7E" w:rsidP="003A6A7E">
      <w:pPr>
        <w:rPr>
          <w:b/>
          <w:bCs/>
        </w:rPr>
      </w:pPr>
      <w:r w:rsidRPr="003A6A7E">
        <w:rPr>
          <w:b/>
          <w:bCs/>
        </w:rPr>
        <w:pict w14:anchorId="704DB693">
          <v:rect id="_x0000_i1103" style="width:0;height:1.5pt" o:hralign="center" o:hrstd="t" o:hr="t" fillcolor="#a0a0a0" stroked="f"/>
        </w:pict>
      </w:r>
    </w:p>
    <w:p w14:paraId="69B96336" w14:textId="796BC3A1" w:rsidR="003A6A7E" w:rsidRDefault="003A6A7E" w:rsidP="003A6A7E">
      <w:pPr>
        <w:rPr>
          <w:b/>
          <w:bCs/>
        </w:rPr>
      </w:pPr>
      <w:r w:rsidRPr="003A6A7E">
        <w:rPr>
          <w:b/>
          <w:bCs/>
        </w:rPr>
        <w:t>End of Report</w:t>
      </w:r>
    </w:p>
    <w:p w14:paraId="17460B32" w14:textId="363CE6E8" w:rsidR="009F6606" w:rsidRPr="003A6A7E" w:rsidRDefault="009F6606" w:rsidP="009F6606">
      <w:pPr>
        <w:ind w:left="-270" w:right="-180" w:firstLine="27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A5F0E6" wp14:editId="67595968">
            <wp:simplePos x="0" y="0"/>
            <wp:positionH relativeFrom="column">
              <wp:posOffset>47625</wp:posOffset>
            </wp:positionH>
            <wp:positionV relativeFrom="paragraph">
              <wp:posOffset>8255</wp:posOffset>
            </wp:positionV>
            <wp:extent cx="5343525" cy="4735195"/>
            <wp:effectExtent l="0" t="0" r="0" b="0"/>
            <wp:wrapSquare wrapText="bothSides"/>
            <wp:docPr id="1210731784" name="Picture 2" descr="A diagram of a satellit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31784" name="Picture 2" descr="A diagram of a satellit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AFB0F" w14:textId="71DDEC5D" w:rsidR="00490BEA" w:rsidRDefault="00490BEA"/>
    <w:sectPr w:rsidR="00490B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9A52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C7AEA"/>
    <w:multiLevelType w:val="multilevel"/>
    <w:tmpl w:val="806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86421"/>
    <w:multiLevelType w:val="multilevel"/>
    <w:tmpl w:val="256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E9EE0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25205F"/>
    <w:multiLevelType w:val="multilevel"/>
    <w:tmpl w:val="367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D6F86"/>
    <w:multiLevelType w:val="multilevel"/>
    <w:tmpl w:val="6EBE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F5BF0"/>
    <w:multiLevelType w:val="multilevel"/>
    <w:tmpl w:val="8252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A2A7E"/>
    <w:multiLevelType w:val="multilevel"/>
    <w:tmpl w:val="B85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B7074"/>
    <w:multiLevelType w:val="multilevel"/>
    <w:tmpl w:val="C572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B0497"/>
    <w:multiLevelType w:val="multilevel"/>
    <w:tmpl w:val="91F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06603"/>
    <w:multiLevelType w:val="multilevel"/>
    <w:tmpl w:val="A64C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F6239"/>
    <w:multiLevelType w:val="multilevel"/>
    <w:tmpl w:val="F99E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82017"/>
    <w:multiLevelType w:val="multilevel"/>
    <w:tmpl w:val="791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92C8E"/>
    <w:multiLevelType w:val="multilevel"/>
    <w:tmpl w:val="F30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72818"/>
    <w:multiLevelType w:val="multilevel"/>
    <w:tmpl w:val="B42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7635C"/>
    <w:multiLevelType w:val="multilevel"/>
    <w:tmpl w:val="194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329583">
    <w:abstractNumId w:val="0"/>
  </w:num>
  <w:num w:numId="2" w16cid:durableId="21203000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2825031">
    <w:abstractNumId w:val="4"/>
  </w:num>
  <w:num w:numId="4" w16cid:durableId="1076514860">
    <w:abstractNumId w:val="5"/>
  </w:num>
  <w:num w:numId="5" w16cid:durableId="1420983428">
    <w:abstractNumId w:val="15"/>
  </w:num>
  <w:num w:numId="6" w16cid:durableId="331419398">
    <w:abstractNumId w:val="7"/>
  </w:num>
  <w:num w:numId="7" w16cid:durableId="1921481754">
    <w:abstractNumId w:val="1"/>
  </w:num>
  <w:num w:numId="8" w16cid:durableId="1013917632">
    <w:abstractNumId w:val="11"/>
  </w:num>
  <w:num w:numId="9" w16cid:durableId="1482455216">
    <w:abstractNumId w:val="8"/>
  </w:num>
  <w:num w:numId="10" w16cid:durableId="84033032">
    <w:abstractNumId w:val="12"/>
  </w:num>
  <w:num w:numId="11" w16cid:durableId="1450126878">
    <w:abstractNumId w:val="13"/>
  </w:num>
  <w:num w:numId="12" w16cid:durableId="1060783022">
    <w:abstractNumId w:val="14"/>
  </w:num>
  <w:num w:numId="13" w16cid:durableId="490215283">
    <w:abstractNumId w:val="10"/>
  </w:num>
  <w:num w:numId="14" w16cid:durableId="143132718">
    <w:abstractNumId w:val="9"/>
  </w:num>
  <w:num w:numId="15" w16cid:durableId="1595479926">
    <w:abstractNumId w:val="2"/>
  </w:num>
  <w:num w:numId="16" w16cid:durableId="1750613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BEA"/>
    <w:rsid w:val="003A6A7E"/>
    <w:rsid w:val="00454DE1"/>
    <w:rsid w:val="00490BEA"/>
    <w:rsid w:val="00543CE6"/>
    <w:rsid w:val="00700689"/>
    <w:rsid w:val="009F6606"/>
    <w:rsid w:val="00E3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951EACF"/>
  <w15:docId w15:val="{677AE475-6052-4251-9B85-AC693374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6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p-68d0957c6eb88191b63fae40877181cc-sdc-comms/c/68f0b411-2920-832a-a9b9-c521acb32950" TargetMode="External"/><Relationship Id="rId13" Type="http://schemas.openxmlformats.org/officeDocument/2006/relationships/hyperlink" Target="https://public.ccsds.org/Publications/BlueBooks.asp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g/g-p-68d0957c6eb88191b63fae40877181cc-sdc-comms/c/68f0b411-2920-832a-a9b9-c521acb32950" TargetMode="External"/><Relationship Id="rId12" Type="http://schemas.openxmlformats.org/officeDocument/2006/relationships/hyperlink" Target="https://chatgpt.com/g/g-p-68d0957c6eb88191b63fae40877181cc-sdc-comms/c/68f0b411-2920-832a-a9b9-c521acb32950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technology.nasa.gov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hatgpt.com/g/g-p-68d0957c6eb88191b63fae40877181cc-sdc-comms/c/68f0b411-2920-832a-a9b9-c521acb3295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ll.mit.edu/r-d/projects/tbird" TargetMode="External"/><Relationship Id="rId10" Type="http://schemas.openxmlformats.org/officeDocument/2006/relationships/hyperlink" Target="https://chatgpt.com/g/g-p-68d0957c6eb88191b63fae40877181cc-sdc-comms/c/68f0b411-2920-832a-a9b9-c521acb3295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g/g-p-68d0957c6eb88191b63fae40877181cc-sdc-comms/c/68f0b411-2920-832a-a9b9-c521acb32950" TargetMode="External"/><Relationship Id="rId14" Type="http://schemas.openxmlformats.org/officeDocument/2006/relationships/hyperlink" Target="https://github.com/nasa/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935</Words>
  <Characters>5641</Characters>
  <Application>Microsoft Office Word</Application>
  <DocSecurity>0</DocSecurity>
  <Lines>144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Gary Spear</cp:lastModifiedBy>
  <cp:revision>4</cp:revision>
  <dcterms:created xsi:type="dcterms:W3CDTF">2025-10-17T04:19:00Z</dcterms:created>
  <dcterms:modified xsi:type="dcterms:W3CDTF">2025-10-17T04:47:00Z</dcterms:modified>
</cp:coreProperties>
</file>