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52BE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HEBER CAMPUS</w:t>
      </w:r>
    </w:p>
    <w:p w14:paraId="51A8F500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CBE0C2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EXPANSION AND SCALE DOCTRINE</w:t>
      </w:r>
    </w:p>
    <w:p w14:paraId="7D7A518F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7C80B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Document ID: HC-PH3-001</w:t>
      </w:r>
    </w:p>
    <w:p w14:paraId="51E239D1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6ED0EF60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Date: 2025-12-31</w:t>
      </w:r>
    </w:p>
    <w:p w14:paraId="607C17A8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Applies To: Phase 3 – Large-Scale Industrial Expansion</w:t>
      </w:r>
    </w:p>
    <w:p w14:paraId="13A46386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Related Documents: HC-MGD-001, HC-SFR-001, HC-PH2-001, Appendix H (HRWL)</w:t>
      </w:r>
    </w:p>
    <w:p w14:paraId="248AB6D7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A4DE4" wp14:editId="792B0276">
                <wp:extent cx="5943600" cy="1270"/>
                <wp:effectExtent l="0" t="31750" r="0" b="36830"/>
                <wp:docPr id="90963142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120A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95218E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C35416C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1B70DF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This document formalizes the Phase 3 expansion doctrine for the Heber Campus. Phase 3 represents the transition from a profitable, stabilized integrated campus into a national-scale energy and fuels manufacturing platform.</w:t>
      </w:r>
    </w:p>
    <w:p w14:paraId="21C61466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094A6C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Phase 3 is governed by strict trigger conditions, capital discipline, and modular replication. Expansion is demand-driven, not speculative.</w:t>
      </w:r>
    </w:p>
    <w:p w14:paraId="4A78E202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0A5285" wp14:editId="610C7023">
                <wp:extent cx="5943600" cy="1270"/>
                <wp:effectExtent l="0" t="31750" r="0" b="36830"/>
                <wp:docPr id="11403914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5956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83393A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PHASE 3 SCOPE OVERVIEW</w:t>
      </w:r>
    </w:p>
    <w:p w14:paraId="37371906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C7C26F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Phase 3 expands the campus across three primary vectors:</w:t>
      </w:r>
    </w:p>
    <w:p w14:paraId="257B1290" w14:textId="77777777" w:rsidR="00903558" w:rsidRPr="00903558" w:rsidRDefault="00903558" w:rsidP="00903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Data Center Expansion</w:t>
      </w:r>
    </w:p>
    <w:p w14:paraId="7D83E9E9" w14:textId="77777777" w:rsidR="00903558" w:rsidRPr="00903558" w:rsidRDefault="00903558" w:rsidP="00903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Renewable and Firm Power Expansion</w:t>
      </w:r>
    </w:p>
    <w:p w14:paraId="48B19A69" w14:textId="77777777" w:rsidR="00903558" w:rsidRPr="00903558" w:rsidRDefault="00903558" w:rsidP="00903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Hydrogen and Fuels Expansion</w:t>
      </w:r>
    </w:p>
    <w:p w14:paraId="607D9744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2105D6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No Phase 3 asset shall be constructed unless Phase 2 trigger conditions are satisfied.</w:t>
      </w:r>
    </w:p>
    <w:p w14:paraId="06E9BF6F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36D4EC" wp14:editId="139322ED">
                <wp:extent cx="5943600" cy="1270"/>
                <wp:effectExtent l="0" t="31750" r="0" b="36830"/>
                <wp:docPr id="166599429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EF4B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61ACE3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PHASE 3 ENTRY CONDITIONS (MANDATORY)</w:t>
      </w:r>
    </w:p>
    <w:p w14:paraId="4E3256B5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53A36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Phase 3 expansion shall not commence until all of the following have been achieved for a minimum of 12 consecutive months:</w:t>
      </w:r>
    </w:p>
    <w:p w14:paraId="21072F5E" w14:textId="77777777" w:rsidR="00903558" w:rsidRPr="00903558" w:rsidRDefault="00903558" w:rsidP="0090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DC utilization &gt;= 90% across Phase 2 footprint</w:t>
      </w:r>
    </w:p>
    <w:p w14:paraId="2BB0E578" w14:textId="77777777" w:rsidR="00903558" w:rsidRPr="00903558" w:rsidRDefault="00903558" w:rsidP="0090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SOEC uptime &gt;= 95%</w:t>
      </w:r>
    </w:p>
    <w:p w14:paraId="3C5FE889" w14:textId="77777777" w:rsidR="00903558" w:rsidRPr="00903558" w:rsidRDefault="00903558" w:rsidP="0090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Fuel production &gt;= 95% of nameplate</w:t>
      </w:r>
    </w:p>
    <w:p w14:paraId="4668B599" w14:textId="77777777" w:rsidR="00903558" w:rsidRPr="00903558" w:rsidRDefault="00903558" w:rsidP="0090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DSCR &gt;= 1.40x</w:t>
      </w:r>
    </w:p>
    <w:p w14:paraId="3A0B82A7" w14:textId="77777777" w:rsidR="00903558" w:rsidRPr="00903558" w:rsidRDefault="00903558" w:rsidP="0090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Night load managed without routine backup fuel use</w:t>
      </w:r>
    </w:p>
    <w:p w14:paraId="66A012DD" w14:textId="77777777" w:rsidR="00903558" w:rsidRPr="00903558" w:rsidRDefault="00903558" w:rsidP="0090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Biomass supply contracts performing within cost and quality bands</w:t>
      </w:r>
    </w:p>
    <w:p w14:paraId="26008C17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0B2618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Failure of any condition pauses expansion.</w:t>
      </w:r>
    </w:p>
    <w:p w14:paraId="0CC15B76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AF92A0" wp14:editId="0098C445">
                <wp:extent cx="5943600" cy="1270"/>
                <wp:effectExtent l="0" t="31750" r="0" b="36830"/>
                <wp:docPr id="9544004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A28A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DE7131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CENTER EXPANSION (PHASE 3)</w:t>
      </w:r>
    </w:p>
    <w:p w14:paraId="20A94EE7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44AF30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Target Scale</w:t>
      </w:r>
    </w:p>
    <w:p w14:paraId="580191EA" w14:textId="77777777" w:rsidR="00903558" w:rsidRPr="00903558" w:rsidRDefault="00903558" w:rsidP="0090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Expansion from 8 buildings (Phase 2) to up to 16 buildings</w:t>
      </w:r>
    </w:p>
    <w:p w14:paraId="4F4790CE" w14:textId="77777777" w:rsidR="00903558" w:rsidRPr="00903558" w:rsidRDefault="00903558" w:rsidP="0090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50 MW IT load per building</w:t>
      </w:r>
    </w:p>
    <w:p w14:paraId="078AFDAA" w14:textId="77777777" w:rsidR="00903558" w:rsidRPr="00903558" w:rsidRDefault="00903558" w:rsidP="0090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Total DC IT capacity: 800 MW</w:t>
      </w:r>
    </w:p>
    <w:p w14:paraId="7A321987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0A47C7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DC Operating Doctrine</w:t>
      </w:r>
    </w:p>
    <w:p w14:paraId="7870812B" w14:textId="77777777" w:rsidR="00903558" w:rsidRPr="00903558" w:rsidRDefault="00903558" w:rsidP="0090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Tiered workload contracts remain mandatory</w:t>
      </w:r>
    </w:p>
    <w:p w14:paraId="0F1853C6" w14:textId="77777777" w:rsidR="00903558" w:rsidRPr="00903558" w:rsidRDefault="00903558" w:rsidP="0090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Night throttling remains enforceable</w:t>
      </w:r>
    </w:p>
    <w:p w14:paraId="33527DDD" w14:textId="77777777" w:rsidR="00903558" w:rsidRPr="00903558" w:rsidRDefault="00903558" w:rsidP="0090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AI/HPC premium workloads prioritized</w:t>
      </w:r>
    </w:p>
    <w:p w14:paraId="7EB36431" w14:textId="77777777" w:rsidR="00903558" w:rsidRPr="00903558" w:rsidRDefault="00903558" w:rsidP="0090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Cooling governed by Appendix H (HRWL)</w:t>
      </w:r>
    </w:p>
    <w:p w14:paraId="4317B4FF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876496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DC expansion is modular and demand-driven; buildings are commissioned individually.</w:t>
      </w:r>
    </w:p>
    <w:p w14:paraId="082AD96A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AE2AC2" wp14:editId="57AB4E4F">
                <wp:extent cx="5943600" cy="1270"/>
                <wp:effectExtent l="0" t="31750" r="0" b="36830"/>
                <wp:docPr id="3187741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51A2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E361D7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POWER EXPANSION</w:t>
      </w:r>
    </w:p>
    <w:p w14:paraId="242D6700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52212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Solar Generation</w:t>
      </w:r>
    </w:p>
    <w:p w14:paraId="1788F9CA" w14:textId="77777777" w:rsidR="00903558" w:rsidRPr="00903558" w:rsidRDefault="00903558" w:rsidP="00903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Expansion from ~3.0 GW (Phase 2) to up to 5.0 GW</w:t>
      </w:r>
    </w:p>
    <w:p w14:paraId="7CE36769" w14:textId="77777777" w:rsidR="00903558" w:rsidRPr="00903558" w:rsidRDefault="00903558" w:rsidP="00903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Solar expansion is modular and financeable</w:t>
      </w:r>
    </w:p>
    <w:p w14:paraId="3B032DB7" w14:textId="77777777" w:rsidR="00903558" w:rsidRPr="00903558" w:rsidRDefault="00903558" w:rsidP="00903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Primary role: support DC growth, SOEC daytime overdrive, and flexible exports</w:t>
      </w:r>
    </w:p>
    <w:p w14:paraId="03FDA804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234F76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Firm Generation (SMRs)</w:t>
      </w:r>
    </w:p>
    <w:p w14:paraId="26AC2993" w14:textId="77777777" w:rsidR="00903558" w:rsidRPr="00903558" w:rsidRDefault="00903558" w:rsidP="00903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Addition of incremental SMR blocks (VOYGR modules)</w:t>
      </w:r>
    </w:p>
    <w:p w14:paraId="35C3BFB9" w14:textId="77777777" w:rsidR="00903558" w:rsidRPr="00903558" w:rsidRDefault="00903558" w:rsidP="00903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SMRs are added in modular banks aligned with night load growth</w:t>
      </w:r>
    </w:p>
    <w:p w14:paraId="319EF573" w14:textId="77777777" w:rsidR="00903558" w:rsidRPr="00903558" w:rsidRDefault="00903558" w:rsidP="00903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No SMR block shall be commissioned without matching demand or contracted capacity</w:t>
      </w:r>
    </w:p>
    <w:p w14:paraId="3A3AFD11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B492D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Biomass remains a core firming asset.</w:t>
      </w:r>
    </w:p>
    <w:p w14:paraId="4002E836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E81F6A" wp14:editId="210A02DF">
                <wp:extent cx="5943600" cy="1270"/>
                <wp:effectExtent l="0" t="31750" r="0" b="36830"/>
                <wp:docPr id="61431605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C28B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93478B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HYDROGEN AND SOEC EXPANSION</w:t>
      </w:r>
    </w:p>
    <w:p w14:paraId="0F2C76DE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D8CE2F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SOEC Scale</w:t>
      </w:r>
    </w:p>
    <w:p w14:paraId="136AA902" w14:textId="77777777" w:rsidR="00903558" w:rsidRPr="00903558" w:rsidRDefault="00903558" w:rsidP="00903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Expansion from 457 t/day toward multi-unit replication</w:t>
      </w:r>
    </w:p>
    <w:p w14:paraId="7DE27396" w14:textId="77777777" w:rsidR="00903558" w:rsidRPr="00903558" w:rsidRDefault="00903558" w:rsidP="00903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SOEC trains added in parallel blocks</w:t>
      </w:r>
    </w:p>
    <w:p w14:paraId="737934BB" w14:textId="77777777" w:rsidR="00903558" w:rsidRPr="00903558" w:rsidRDefault="00903558" w:rsidP="00903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Hot-standby doctrine preserved</w:t>
      </w:r>
    </w:p>
    <w:p w14:paraId="0BE8D1B6" w14:textId="77777777" w:rsidR="00903558" w:rsidRPr="00903558" w:rsidRDefault="00903558" w:rsidP="00903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Day/night shaping remains enforced</w:t>
      </w:r>
    </w:p>
    <w:p w14:paraId="7DC1FC9E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540DF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Hydrogen Storage</w:t>
      </w:r>
    </w:p>
    <w:p w14:paraId="62966E12" w14:textId="77777777" w:rsidR="00903558" w:rsidRPr="00903558" w:rsidRDefault="00903558" w:rsidP="00903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lastRenderedPageBreak/>
        <w:t>Hydrogen storage scaled proportionally to SOEC capacity</w:t>
      </w:r>
    </w:p>
    <w:p w14:paraId="4009982F" w14:textId="77777777" w:rsidR="00903558" w:rsidRPr="00903558" w:rsidRDefault="00903558" w:rsidP="00903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Minimum buffering shall support steady fuels synthesis and night shaping</w:t>
      </w:r>
    </w:p>
    <w:p w14:paraId="4B200F47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1CE4EE" wp14:editId="27872F9E">
                <wp:extent cx="5943600" cy="1270"/>
                <wp:effectExtent l="0" t="31750" r="0" b="36830"/>
                <wp:docPr id="25184680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1874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F6E638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FUELS EXPANSION</w:t>
      </w:r>
    </w:p>
    <w:p w14:paraId="45EABA80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19744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Target Capacity</w:t>
      </w:r>
    </w:p>
    <w:p w14:paraId="2D14F295" w14:textId="77777777" w:rsidR="00903558" w:rsidRPr="00903558" w:rsidRDefault="00903558" w:rsidP="009035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Expansion from 18,000 bpd to up to 100,000 bpd</w:t>
      </w:r>
    </w:p>
    <w:p w14:paraId="17AB00AB" w14:textId="77777777" w:rsidR="00903558" w:rsidRPr="00903558" w:rsidRDefault="00903558" w:rsidP="009035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Fuels expansion proceeds in modular refinery trains</w:t>
      </w:r>
    </w:p>
    <w:p w14:paraId="16455EFD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9D298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Market Doctrine</w:t>
      </w:r>
    </w:p>
    <w:p w14:paraId="56F10462" w14:textId="77777777" w:rsidR="00903558" w:rsidRPr="00903558" w:rsidRDefault="00903558" w:rsidP="00903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Fuels remain the primary margin driver</w:t>
      </w:r>
    </w:p>
    <w:p w14:paraId="7742047B" w14:textId="77777777" w:rsidR="00903558" w:rsidRPr="00903558" w:rsidRDefault="00903558" w:rsidP="00903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Priority given to diesel and Jet-A</w:t>
      </w:r>
    </w:p>
    <w:p w14:paraId="3AB2DD91" w14:textId="77777777" w:rsidR="00903558" w:rsidRPr="00903558" w:rsidRDefault="00903558" w:rsidP="00903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SAF, military, and scarcity-driven markets prioritized</w:t>
      </w:r>
    </w:p>
    <w:p w14:paraId="7AEAD951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3A79DF" wp14:editId="46621FB3">
                <wp:extent cx="5943600" cy="1270"/>
                <wp:effectExtent l="0" t="31750" r="0" b="36830"/>
                <wp:docPr id="13241934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7478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9FE9DF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POWER EXPORT DOCTRINE (PHASE 3)</w:t>
      </w:r>
    </w:p>
    <w:p w14:paraId="77DBC3A2" w14:textId="77777777" w:rsidR="00903558" w:rsidRPr="00903558" w:rsidRDefault="00903558" w:rsidP="009035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Firm power commitments may increase but remain conservative</w:t>
      </w:r>
    </w:p>
    <w:p w14:paraId="44ED23D3" w14:textId="77777777" w:rsidR="00903558" w:rsidRPr="00903558" w:rsidRDefault="00903558" w:rsidP="009035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Flexible and shaped exports dominate</w:t>
      </w:r>
    </w:p>
    <w:p w14:paraId="588426CC" w14:textId="77777777" w:rsidR="00903558" w:rsidRPr="00903558" w:rsidRDefault="00903558" w:rsidP="009035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No firm export shall compromise fuel production or green compliance</w:t>
      </w:r>
    </w:p>
    <w:p w14:paraId="60D15572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66FF01" wp14:editId="33518F33">
                <wp:extent cx="5943600" cy="1270"/>
                <wp:effectExtent l="0" t="31750" r="0" b="36830"/>
                <wp:docPr id="5653455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2A1F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C7E17C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FINANCIAL EXPECTATIONS (ORDER-OF-MAGNITUDE)</w:t>
      </w:r>
    </w:p>
    <w:p w14:paraId="6422418A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392FC4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Phase 3 at full scale is expected to achieve:</w:t>
      </w:r>
    </w:p>
    <w:p w14:paraId="59EA2381" w14:textId="77777777" w:rsidR="00903558" w:rsidRPr="00903558" w:rsidRDefault="00903558" w:rsidP="00903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Total annual revenue: $2.5B – $3.5B</w:t>
      </w:r>
    </w:p>
    <w:p w14:paraId="0660F9A3" w14:textId="77777777" w:rsidR="00903558" w:rsidRPr="00903558" w:rsidRDefault="00903558" w:rsidP="00903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EBITDA margin sustained &gt;= 40%</w:t>
      </w:r>
    </w:p>
    <w:p w14:paraId="515599A9" w14:textId="77777777" w:rsidR="00903558" w:rsidRPr="00903558" w:rsidRDefault="00903558" w:rsidP="00903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Debt service coverage ratio &gt;= 1.50x</w:t>
      </w:r>
    </w:p>
    <w:p w14:paraId="5BF4D21E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DAE0D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lastRenderedPageBreak/>
        <w:t>Exact values shall be updated as Phase 3 assets are defined.</w:t>
      </w:r>
    </w:p>
    <w:p w14:paraId="257B0ACE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EF5617" wp14:editId="2AC6A3E6">
                <wp:extent cx="5943600" cy="1270"/>
                <wp:effectExtent l="0" t="33020" r="0" b="38100"/>
                <wp:docPr id="199005196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4E10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5A51C1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RISK MANAGEMENT</w:t>
      </w:r>
    </w:p>
    <w:p w14:paraId="2FFF5FE9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0F3ECA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Key Phase 3 risks:</w:t>
      </w:r>
    </w:p>
    <w:p w14:paraId="2AE8C0B9" w14:textId="77777777" w:rsidR="00903558" w:rsidRPr="00903558" w:rsidRDefault="00903558" w:rsidP="009035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Overextension of capital</w:t>
      </w:r>
    </w:p>
    <w:p w14:paraId="3E363DEB" w14:textId="77777777" w:rsidR="00903558" w:rsidRPr="00903558" w:rsidRDefault="00903558" w:rsidP="009035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Operational complexity</w:t>
      </w:r>
    </w:p>
    <w:p w14:paraId="41F22980" w14:textId="77777777" w:rsidR="00903558" w:rsidRPr="00903558" w:rsidRDefault="00903558" w:rsidP="009035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Feedstock concentration</w:t>
      </w:r>
    </w:p>
    <w:p w14:paraId="022EF822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F1E1A7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Mitigations:</w:t>
      </w:r>
    </w:p>
    <w:p w14:paraId="006AB172" w14:textId="77777777" w:rsidR="00903558" w:rsidRPr="00903558" w:rsidRDefault="00903558" w:rsidP="00903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Modular replication</w:t>
      </w:r>
    </w:p>
    <w:p w14:paraId="18260A81" w14:textId="77777777" w:rsidR="00903558" w:rsidRPr="00903558" w:rsidRDefault="00903558" w:rsidP="00903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Staggered commissioning</w:t>
      </w:r>
    </w:p>
    <w:p w14:paraId="066DB12A" w14:textId="77777777" w:rsidR="00903558" w:rsidRPr="00903558" w:rsidRDefault="00903558" w:rsidP="00903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Diversified biomass and hydrogen sourcing</w:t>
      </w:r>
    </w:p>
    <w:p w14:paraId="39323D03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8A657B" wp14:editId="5563D8A1">
                <wp:extent cx="5943600" cy="1270"/>
                <wp:effectExtent l="0" t="33020" r="0" b="38100"/>
                <wp:docPr id="7319897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88C6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5B6661" w14:textId="77777777" w:rsidR="00903558" w:rsidRPr="00903558" w:rsidRDefault="00903558" w:rsidP="009035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GOVERNANCE</w:t>
      </w:r>
    </w:p>
    <w:p w14:paraId="68738801" w14:textId="77777777" w:rsidR="00903558" w:rsidRPr="00903558" w:rsidRDefault="00903558" w:rsidP="00903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Phase 3 expansions require governance approval</w:t>
      </w:r>
    </w:p>
    <w:p w14:paraId="3335765D" w14:textId="77777777" w:rsidR="00903558" w:rsidRPr="00903558" w:rsidRDefault="00903558" w:rsidP="00903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Deviations from this doctrine require documented justification</w:t>
      </w:r>
    </w:p>
    <w:p w14:paraId="250AAC1F" w14:textId="77777777" w:rsidR="00903558" w:rsidRPr="00903558" w:rsidRDefault="00903558" w:rsidP="00903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All Phase 3 assets must be compatible with prior phases</w:t>
      </w:r>
    </w:p>
    <w:p w14:paraId="2579EF0A" w14:textId="77777777" w:rsidR="00903558" w:rsidRPr="00903558" w:rsidRDefault="00903558" w:rsidP="009035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5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7A741F" wp14:editId="5EC5CF15">
                <wp:extent cx="5943600" cy="1270"/>
                <wp:effectExtent l="0" t="33020" r="0" b="38100"/>
                <wp:docPr id="201312709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B990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D41AF0" w14:textId="77777777" w:rsidR="00903558" w:rsidRPr="00903558" w:rsidRDefault="00903558" w:rsidP="009035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3558">
        <w:rPr>
          <w:rFonts w:ascii="Times New Roman" w:hAnsi="Times New Roman" w:cs="Times New Roman"/>
          <w:kern w:val="0"/>
          <w14:ligatures w14:val="none"/>
        </w:rPr>
        <w:t>END OF DOCUMENT</w:t>
      </w:r>
    </w:p>
    <w:p w14:paraId="3B382991" w14:textId="77777777" w:rsidR="00903558" w:rsidRDefault="00903558"/>
    <w:sectPr w:rsidR="00903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E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36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12C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E15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008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03F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256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C27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038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32B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97D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B73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219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E41B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285768">
    <w:abstractNumId w:val="14"/>
  </w:num>
  <w:num w:numId="2" w16cid:durableId="1835097893">
    <w:abstractNumId w:val="1"/>
  </w:num>
  <w:num w:numId="3" w16cid:durableId="273638703">
    <w:abstractNumId w:val="12"/>
  </w:num>
  <w:num w:numId="4" w16cid:durableId="834880317">
    <w:abstractNumId w:val="0"/>
  </w:num>
  <w:num w:numId="5" w16cid:durableId="1853908325">
    <w:abstractNumId w:val="6"/>
  </w:num>
  <w:num w:numId="6" w16cid:durableId="1321690102">
    <w:abstractNumId w:val="5"/>
  </w:num>
  <w:num w:numId="7" w16cid:durableId="1779519881">
    <w:abstractNumId w:val="4"/>
  </w:num>
  <w:num w:numId="8" w16cid:durableId="2059819345">
    <w:abstractNumId w:val="7"/>
  </w:num>
  <w:num w:numId="9" w16cid:durableId="337655759">
    <w:abstractNumId w:val="9"/>
  </w:num>
  <w:num w:numId="10" w16cid:durableId="1391147699">
    <w:abstractNumId w:val="8"/>
  </w:num>
  <w:num w:numId="11" w16cid:durableId="310406550">
    <w:abstractNumId w:val="2"/>
  </w:num>
  <w:num w:numId="12" w16cid:durableId="1995911597">
    <w:abstractNumId w:val="10"/>
  </w:num>
  <w:num w:numId="13" w16cid:durableId="577397581">
    <w:abstractNumId w:val="13"/>
  </w:num>
  <w:num w:numId="14" w16cid:durableId="265583050">
    <w:abstractNumId w:val="11"/>
  </w:num>
  <w:num w:numId="15" w16cid:durableId="1622374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58"/>
    <w:rsid w:val="00903558"/>
    <w:rsid w:val="00EA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0AA5D"/>
  <w15:chartTrackingRefBased/>
  <w15:docId w15:val="{5A5EB44F-61B4-6D42-A5D8-8854FF38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55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035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03558"/>
  </w:style>
  <w:style w:type="paragraph" w:customStyle="1" w:styleId="p2">
    <w:name w:val="p2"/>
    <w:basedOn w:val="Normal"/>
    <w:rsid w:val="009035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03558"/>
  </w:style>
  <w:style w:type="paragraph" w:customStyle="1" w:styleId="p3">
    <w:name w:val="p3"/>
    <w:basedOn w:val="Normal"/>
    <w:rsid w:val="009035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03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2025-12-31T07:39:00Z</dcterms:created>
  <dcterms:modified xsi:type="dcterms:W3CDTF">2025-12-31T07:39:00Z</dcterms:modified>
</cp:coreProperties>
</file>