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EBB7" w14:textId="57A75844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68D833" w14:textId="77777777" w:rsidR="000557A3" w:rsidRPr="000557A3" w:rsidRDefault="000557A3" w:rsidP="0005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A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ACA53E" wp14:editId="7C4C24F2">
                <wp:extent cx="5943600" cy="1270"/>
                <wp:effectExtent l="0" t="31750" r="0" b="36830"/>
                <wp:docPr id="172912132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ED654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3AD4A6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MINIMAL OPTION SHEET</w:t>
      </w:r>
    </w:p>
    <w:p w14:paraId="67FCC004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(Mandatory for Bid Qualification)</w:t>
      </w:r>
    </w:p>
    <w:p w14:paraId="665F3FE1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228030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Purpose: Ensure safe, warranty-compliant observability for MECSAI integration without modifying the SOEC stack.</w:t>
      </w:r>
    </w:p>
    <w:p w14:paraId="199CAF65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017635" w14:textId="77777777" w:rsidR="000557A3" w:rsidRPr="000557A3" w:rsidRDefault="000557A3" w:rsidP="00055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Sensor Scope (OEM supplied or OEM approved)</w:t>
      </w:r>
    </w:p>
    <w:p w14:paraId="722091CA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85D79C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Vendor shall provide or approve the following sensors at OEM-defined interfaces:</w:t>
      </w:r>
    </w:p>
    <w:p w14:paraId="37AD64CC" w14:textId="77777777" w:rsidR="000557A3" w:rsidRPr="000557A3" w:rsidRDefault="000557A3" w:rsidP="0005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Stack inlet temperature (H2 and O2 sides)</w:t>
      </w:r>
    </w:p>
    <w:p w14:paraId="1200B9E2" w14:textId="77777777" w:rsidR="000557A3" w:rsidRPr="000557A3" w:rsidRDefault="000557A3" w:rsidP="0005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Stack outlet temperature (H2 and O2 sides)</w:t>
      </w:r>
    </w:p>
    <w:p w14:paraId="40E7C96D" w14:textId="77777777" w:rsidR="000557A3" w:rsidRPr="000557A3" w:rsidRDefault="000557A3" w:rsidP="0005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Stack average temperature</w:t>
      </w:r>
    </w:p>
    <w:p w14:paraId="17272887" w14:textId="77777777" w:rsidR="000557A3" w:rsidRPr="000557A3" w:rsidRDefault="000557A3" w:rsidP="0005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Stack inlet pressure (H2 and O2 sides)</w:t>
      </w:r>
    </w:p>
    <w:p w14:paraId="544A72EC" w14:textId="77777777" w:rsidR="000557A3" w:rsidRPr="000557A3" w:rsidRDefault="000557A3" w:rsidP="0005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Stack outlet pressure (H2 and O2 sides)</w:t>
      </w:r>
    </w:p>
    <w:p w14:paraId="4727A432" w14:textId="77777777" w:rsidR="000557A3" w:rsidRPr="000557A3" w:rsidRDefault="000557A3" w:rsidP="0005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DC bus voltage</w:t>
      </w:r>
    </w:p>
    <w:p w14:paraId="56D2F18C" w14:textId="77777777" w:rsidR="000557A3" w:rsidRPr="000557A3" w:rsidRDefault="000557A3" w:rsidP="0005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DC bus current</w:t>
      </w:r>
    </w:p>
    <w:p w14:paraId="75896A76" w14:textId="77777777" w:rsidR="000557A3" w:rsidRPr="000557A3" w:rsidRDefault="000557A3" w:rsidP="00055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Hydrogen purity or crossover indication (binary acceptable)</w:t>
      </w:r>
    </w:p>
    <w:p w14:paraId="33C63292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8ECEB3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All sensors must be:</w:t>
      </w:r>
    </w:p>
    <w:p w14:paraId="629C83B0" w14:textId="77777777" w:rsidR="000557A3" w:rsidRPr="000557A3" w:rsidRDefault="000557A3" w:rsidP="00055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OEM installed OR OEM approved</w:t>
      </w:r>
    </w:p>
    <w:p w14:paraId="2974EEE6" w14:textId="77777777" w:rsidR="000557A3" w:rsidRPr="000557A3" w:rsidRDefault="000557A3" w:rsidP="00055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OEM calibrated</w:t>
      </w:r>
    </w:p>
    <w:p w14:paraId="05FDBFFB" w14:textId="77777777" w:rsidR="000557A3" w:rsidRPr="000557A3" w:rsidRDefault="000557A3" w:rsidP="00055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Covered under standard warranty</w:t>
      </w:r>
    </w:p>
    <w:p w14:paraId="72BAAC2A" w14:textId="77777777" w:rsidR="000557A3" w:rsidRPr="000557A3" w:rsidRDefault="000557A3" w:rsidP="0005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A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32478F" wp14:editId="73F00526">
                <wp:extent cx="5943600" cy="1270"/>
                <wp:effectExtent l="0" t="31750" r="0" b="36830"/>
                <wp:docPr id="14957585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27684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6BB8FF" w14:textId="77777777" w:rsidR="000557A3" w:rsidRPr="000557A3" w:rsidRDefault="000557A3" w:rsidP="000557A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Access Requirements</w:t>
      </w:r>
    </w:p>
    <w:p w14:paraId="05A50481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AA71B3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Vendor shall provide read-only access to the following data streams:</w:t>
      </w:r>
    </w:p>
    <w:p w14:paraId="73D8B9A4" w14:textId="77777777" w:rsidR="000557A3" w:rsidRPr="000557A3" w:rsidRDefault="000557A3" w:rsidP="00055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lastRenderedPageBreak/>
        <w:t>Raw sensor values (not alarm-only)</w:t>
      </w:r>
    </w:p>
    <w:p w14:paraId="5C56ABB5" w14:textId="77777777" w:rsidR="000557A3" w:rsidRPr="000557A3" w:rsidRDefault="000557A3" w:rsidP="00055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Minimum sampling rate: 1 Hz</w:t>
      </w:r>
    </w:p>
    <w:p w14:paraId="04062496" w14:textId="77777777" w:rsidR="000557A3" w:rsidRPr="000557A3" w:rsidRDefault="000557A3" w:rsidP="00055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Protocols supported:</w:t>
      </w:r>
    </w:p>
    <w:p w14:paraId="7AB63C32" w14:textId="77777777" w:rsidR="000557A3" w:rsidRPr="000557A3" w:rsidRDefault="000557A3" w:rsidP="000557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557A3">
        <w:rPr>
          <w:rFonts w:ascii="Times New Roman" w:hAnsi="Times New Roman" w:cs="Times New Roman"/>
          <w:kern w:val="0"/>
          <w14:ligatures w14:val="none"/>
        </w:rPr>
        <w:t>Modbus</w:t>
      </w:r>
      <w:proofErr w:type="spellEnd"/>
      <w:r w:rsidRPr="000557A3">
        <w:rPr>
          <w:rFonts w:ascii="Times New Roman" w:hAnsi="Times New Roman" w:cs="Times New Roman"/>
          <w:kern w:val="0"/>
          <w14:ligatures w14:val="none"/>
        </w:rPr>
        <w:t xml:space="preserve"> TCP</w:t>
      </w:r>
    </w:p>
    <w:p w14:paraId="3C3042B9" w14:textId="77777777" w:rsidR="000557A3" w:rsidRPr="000557A3" w:rsidRDefault="000557A3" w:rsidP="000557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OPC-UA</w:t>
      </w:r>
    </w:p>
    <w:p w14:paraId="227C9717" w14:textId="77777777" w:rsidR="000557A3" w:rsidRPr="000557A3" w:rsidRDefault="000557A3" w:rsidP="000557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EtherNet/IP (acceptable)</w:t>
      </w:r>
    </w:p>
    <w:p w14:paraId="20BD05B4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9094A6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No write access to safety systems is required.</w:t>
      </w:r>
    </w:p>
    <w:p w14:paraId="5BA35801" w14:textId="77777777" w:rsidR="000557A3" w:rsidRPr="000557A3" w:rsidRDefault="000557A3" w:rsidP="0005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A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027897" wp14:editId="2BD92760">
                <wp:extent cx="5943600" cy="1270"/>
                <wp:effectExtent l="0" t="31750" r="0" b="36830"/>
                <wp:docPr id="113962743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F718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7404F1" w14:textId="77777777" w:rsidR="000557A3" w:rsidRPr="000557A3" w:rsidRDefault="000557A3" w:rsidP="000557A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Control Authority</w:t>
      </w:r>
    </w:p>
    <w:p w14:paraId="11EE5E95" w14:textId="77777777" w:rsidR="000557A3" w:rsidRPr="000557A3" w:rsidRDefault="000557A3" w:rsidP="00055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Vendor PLC retains full safety and interlock authority</w:t>
      </w:r>
    </w:p>
    <w:p w14:paraId="00AF231E" w14:textId="77777777" w:rsidR="000557A3" w:rsidRPr="000557A3" w:rsidRDefault="000557A3" w:rsidP="00055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External systems (MECSAI) may issue:</w:t>
      </w:r>
    </w:p>
    <w:p w14:paraId="59E2F716" w14:textId="77777777" w:rsidR="000557A3" w:rsidRPr="000557A3" w:rsidRDefault="000557A3" w:rsidP="000557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Start/stop requests</w:t>
      </w:r>
    </w:p>
    <w:p w14:paraId="732DE1E1" w14:textId="77777777" w:rsidR="000557A3" w:rsidRPr="000557A3" w:rsidRDefault="000557A3" w:rsidP="000557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 xml:space="preserve">Power </w:t>
      </w:r>
      <w:proofErr w:type="spellStart"/>
      <w:r w:rsidRPr="000557A3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</w:p>
    <w:p w14:paraId="423F66B4" w14:textId="77777777" w:rsidR="000557A3" w:rsidRPr="000557A3" w:rsidRDefault="000557A3" w:rsidP="000557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Ramp rate limits</w:t>
      </w:r>
    </w:p>
    <w:p w14:paraId="1553EBDF" w14:textId="77777777" w:rsidR="000557A3" w:rsidRPr="000557A3" w:rsidRDefault="000557A3" w:rsidP="00055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Vendor PLC may override external commands at any time</w:t>
      </w:r>
    </w:p>
    <w:p w14:paraId="4F8C93BE" w14:textId="77777777" w:rsidR="000557A3" w:rsidRPr="000557A3" w:rsidRDefault="000557A3" w:rsidP="0005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A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C864A4" wp14:editId="56C9CE74">
                <wp:extent cx="5943600" cy="1270"/>
                <wp:effectExtent l="0" t="31750" r="0" b="36830"/>
                <wp:docPr id="2559380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4972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0CAFAC" w14:textId="77777777" w:rsidR="000557A3" w:rsidRPr="000557A3" w:rsidRDefault="000557A3" w:rsidP="000557A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Warranty Protection</w:t>
      </w:r>
    </w:p>
    <w:p w14:paraId="04BC368D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856343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Contract language shall explicitly state:</w:t>
      </w:r>
    </w:p>
    <w:p w14:paraId="6F3DE956" w14:textId="77777777" w:rsidR="000557A3" w:rsidRPr="000557A3" w:rsidRDefault="000557A3" w:rsidP="00055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External monitoring does not void warranty</w:t>
      </w:r>
    </w:p>
    <w:p w14:paraId="352D8CF1" w14:textId="77777777" w:rsidR="000557A3" w:rsidRPr="000557A3" w:rsidRDefault="000557A3" w:rsidP="00055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External analytics and logging are permitted</w:t>
      </w:r>
    </w:p>
    <w:p w14:paraId="2F84C767" w14:textId="77777777" w:rsidR="000557A3" w:rsidRPr="000557A3" w:rsidRDefault="000557A3" w:rsidP="00055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External derating commands upstream of OEM PLC are allowed</w:t>
      </w:r>
    </w:p>
    <w:p w14:paraId="13E289B2" w14:textId="77777777" w:rsidR="000557A3" w:rsidRPr="000557A3" w:rsidRDefault="000557A3" w:rsidP="0005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A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02210B" wp14:editId="47BA61DC">
                <wp:extent cx="5943600" cy="1270"/>
                <wp:effectExtent l="0" t="31750" r="0" b="36830"/>
                <wp:docPr id="17406660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41AD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C92BE1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DESIRED OPTION SHEET</w:t>
      </w:r>
    </w:p>
    <w:p w14:paraId="64A55C1C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(Preferred Partnership Configuration)</w:t>
      </w:r>
    </w:p>
    <w:p w14:paraId="36CB844D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9F478E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Purpose: Enable predictive health monitoring, lifetime optimization, and MECSAI-certified plant operation.</w:t>
      </w:r>
    </w:p>
    <w:p w14:paraId="5188D44C" w14:textId="77777777" w:rsidR="000557A3" w:rsidRPr="000557A3" w:rsidRDefault="000557A3" w:rsidP="0005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A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491DF8" wp14:editId="140FA643">
                <wp:extent cx="5943600" cy="1270"/>
                <wp:effectExtent l="0" t="31750" r="0" b="36830"/>
                <wp:docPr id="19146107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3853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454CEB" w14:textId="77777777" w:rsidR="000557A3" w:rsidRPr="000557A3" w:rsidRDefault="000557A3" w:rsidP="000557A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Enhanced Sensor Package (OEM installed)</w:t>
      </w:r>
    </w:p>
    <w:p w14:paraId="42A476AA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692070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Vendor to integrate the following additional sensors:</w:t>
      </w:r>
    </w:p>
    <w:p w14:paraId="6E0E49DE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34BA0B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Thermal:</w:t>
      </w:r>
    </w:p>
    <w:p w14:paraId="42D1FD28" w14:textId="77777777" w:rsidR="000557A3" w:rsidRPr="000557A3" w:rsidRDefault="000557A3" w:rsidP="00055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Multiple thermocouples per stack face (minimum 4)</w:t>
      </w:r>
    </w:p>
    <w:p w14:paraId="0CE9B41D" w14:textId="77777777" w:rsidR="000557A3" w:rsidRPr="000557A3" w:rsidRDefault="000557A3" w:rsidP="00055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Thermal gradient monitoring across stack depth</w:t>
      </w:r>
    </w:p>
    <w:p w14:paraId="7CAF6212" w14:textId="77777777" w:rsidR="000557A3" w:rsidRPr="000557A3" w:rsidRDefault="000557A3" w:rsidP="00055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Stack ramp-rate calculation support</w:t>
      </w:r>
    </w:p>
    <w:p w14:paraId="6F524CD0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59C691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Electrical:</w:t>
      </w:r>
    </w:p>
    <w:p w14:paraId="66237E04" w14:textId="77777777" w:rsidR="000557A3" w:rsidRPr="000557A3" w:rsidRDefault="000557A3" w:rsidP="000557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Stack-level voltage sense taps</w:t>
      </w:r>
    </w:p>
    <w:p w14:paraId="7AA65B62" w14:textId="77777777" w:rsidR="000557A3" w:rsidRPr="000557A3" w:rsidRDefault="000557A3" w:rsidP="000557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High-resolution current transducer</w:t>
      </w:r>
    </w:p>
    <w:p w14:paraId="5B0CA913" w14:textId="77777777" w:rsidR="000557A3" w:rsidRPr="000557A3" w:rsidRDefault="000557A3" w:rsidP="000557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Optional cell-group voltage taps (vendor discretion)</w:t>
      </w:r>
    </w:p>
    <w:p w14:paraId="0FBF1C17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A55E32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Gas Quality:</w:t>
      </w:r>
    </w:p>
    <w:p w14:paraId="301B74B7" w14:textId="77777777" w:rsidR="000557A3" w:rsidRPr="000557A3" w:rsidRDefault="000557A3" w:rsidP="000557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Hydrogen moisture sensor (ppm resolution)</w:t>
      </w:r>
    </w:p>
    <w:p w14:paraId="28594E13" w14:textId="77777777" w:rsidR="000557A3" w:rsidRPr="000557A3" w:rsidRDefault="000557A3" w:rsidP="000557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Oxygen side humidity sensor</w:t>
      </w:r>
    </w:p>
    <w:p w14:paraId="0514EE38" w14:textId="77777777" w:rsidR="000557A3" w:rsidRPr="000557A3" w:rsidRDefault="000557A3" w:rsidP="000557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Differential pressure decay measurement ports</w:t>
      </w:r>
    </w:p>
    <w:p w14:paraId="0F03A07B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3042C3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Mechanical (non-intrusive):</w:t>
      </w:r>
    </w:p>
    <w:p w14:paraId="6B7DEF88" w14:textId="77777777" w:rsidR="000557A3" w:rsidRPr="000557A3" w:rsidRDefault="000557A3" w:rsidP="000557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External vibration sensors</w:t>
      </w:r>
    </w:p>
    <w:p w14:paraId="595B1330" w14:textId="77777777" w:rsidR="000557A3" w:rsidRPr="000557A3" w:rsidRDefault="000557A3" w:rsidP="000557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External acoustic emission sensor (optional)</w:t>
      </w:r>
    </w:p>
    <w:p w14:paraId="15FC101A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026BFF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All sensors remain within OEM mechanical and thermal design limits.</w:t>
      </w:r>
    </w:p>
    <w:p w14:paraId="31F5D21B" w14:textId="77777777" w:rsidR="000557A3" w:rsidRPr="000557A3" w:rsidRDefault="000557A3" w:rsidP="0005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A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6A12C9" wp14:editId="7B5F7691">
                <wp:extent cx="5943600" cy="1270"/>
                <wp:effectExtent l="0" t="31750" r="0" b="36830"/>
                <wp:docPr id="17308470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E5F3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8A1FB1" w14:textId="77777777" w:rsidR="000557A3" w:rsidRPr="000557A3" w:rsidRDefault="000557A3" w:rsidP="000557A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High-Resolution Data Access</w:t>
      </w:r>
    </w:p>
    <w:p w14:paraId="53EE9786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37E1CD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lastRenderedPageBreak/>
        <w:t>Vendor to provide:</w:t>
      </w:r>
    </w:p>
    <w:p w14:paraId="11DE1B17" w14:textId="77777777" w:rsidR="000557A3" w:rsidRPr="000557A3" w:rsidRDefault="000557A3" w:rsidP="000557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Raw sensor data access</w:t>
      </w:r>
    </w:p>
    <w:p w14:paraId="10C1FBE1" w14:textId="77777777" w:rsidR="000557A3" w:rsidRPr="000557A3" w:rsidRDefault="000557A3" w:rsidP="000557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Minimum sampling rate:</w:t>
      </w:r>
    </w:p>
    <w:p w14:paraId="7CE8ABE5" w14:textId="77777777" w:rsidR="000557A3" w:rsidRPr="000557A3" w:rsidRDefault="000557A3" w:rsidP="000557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Electrical: 10 Hz</w:t>
      </w:r>
    </w:p>
    <w:p w14:paraId="05176323" w14:textId="77777777" w:rsidR="000557A3" w:rsidRPr="000557A3" w:rsidRDefault="000557A3" w:rsidP="000557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Thermal: 2 Hz</w:t>
      </w:r>
    </w:p>
    <w:p w14:paraId="6D42DB40" w14:textId="77777777" w:rsidR="000557A3" w:rsidRPr="000557A3" w:rsidRDefault="000557A3" w:rsidP="000557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Timestamped data with synchronized clock</w:t>
      </w:r>
    </w:p>
    <w:p w14:paraId="38E22687" w14:textId="77777777" w:rsidR="000557A3" w:rsidRPr="000557A3" w:rsidRDefault="000557A3" w:rsidP="000557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Health and diagnostic flags exposed as variables (not just alarms)</w:t>
      </w:r>
    </w:p>
    <w:p w14:paraId="56ECE1AF" w14:textId="77777777" w:rsidR="000557A3" w:rsidRPr="000557A3" w:rsidRDefault="000557A3" w:rsidP="0005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A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5498CE" wp14:editId="0076E18B">
                <wp:extent cx="5943600" cy="1270"/>
                <wp:effectExtent l="0" t="31750" r="0" b="36830"/>
                <wp:docPr id="195630331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02EB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9ACBD7" w14:textId="77777777" w:rsidR="000557A3" w:rsidRPr="000557A3" w:rsidRDefault="000557A3" w:rsidP="000557A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MECSAI Interface Support</w:t>
      </w:r>
    </w:p>
    <w:p w14:paraId="458AEC12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8F36C4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Vendor agrees to:</w:t>
      </w:r>
    </w:p>
    <w:p w14:paraId="7A35014C" w14:textId="77777777" w:rsidR="000557A3" w:rsidRPr="000557A3" w:rsidRDefault="000557A3" w:rsidP="000557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Publish interface control document (ICD)</w:t>
      </w:r>
    </w:p>
    <w:p w14:paraId="5E7FC9CD" w14:textId="77777777" w:rsidR="000557A3" w:rsidRPr="000557A3" w:rsidRDefault="000557A3" w:rsidP="000557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Define allowable external command envelope</w:t>
      </w:r>
    </w:p>
    <w:p w14:paraId="676DADCA" w14:textId="77777777" w:rsidR="000557A3" w:rsidRPr="000557A3" w:rsidRDefault="000557A3" w:rsidP="000557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Support MECSAI as a read-only supervisory system</w:t>
      </w:r>
    </w:p>
    <w:p w14:paraId="75B102EF" w14:textId="77777777" w:rsidR="000557A3" w:rsidRPr="000557A3" w:rsidRDefault="000557A3" w:rsidP="000557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Participate in joint validation testing (FAT / SAT)</w:t>
      </w:r>
    </w:p>
    <w:p w14:paraId="22CA81E3" w14:textId="77777777" w:rsidR="000557A3" w:rsidRPr="000557A3" w:rsidRDefault="000557A3" w:rsidP="0005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A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B748A4" wp14:editId="716AAFCA">
                <wp:extent cx="5943600" cy="1270"/>
                <wp:effectExtent l="0" t="31750" r="0" b="36830"/>
                <wp:docPr id="206366686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D5CF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E5AD11" w14:textId="77777777" w:rsidR="000557A3" w:rsidRPr="000557A3" w:rsidRDefault="000557A3" w:rsidP="000557A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Compliance and Certification Path</w:t>
      </w:r>
    </w:p>
    <w:p w14:paraId="7F2D4993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6C9BE5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Vendor agrees to collaborate on:</w:t>
      </w:r>
    </w:p>
    <w:p w14:paraId="6CA54DAC" w14:textId="77777777" w:rsidR="000557A3" w:rsidRPr="000557A3" w:rsidRDefault="000557A3" w:rsidP="000557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MECSAI-ready certification language</w:t>
      </w:r>
    </w:p>
    <w:p w14:paraId="1CA1A324" w14:textId="77777777" w:rsidR="000557A3" w:rsidRPr="000557A3" w:rsidRDefault="000557A3" w:rsidP="000557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Reference architecture documentation</w:t>
      </w:r>
    </w:p>
    <w:p w14:paraId="7FFC65E1" w14:textId="77777777" w:rsidR="000557A3" w:rsidRPr="000557A3" w:rsidRDefault="000557A3" w:rsidP="000557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Optional co-marketing:</w:t>
      </w:r>
    </w:p>
    <w:p w14:paraId="10DD65B9" w14:textId="77777777" w:rsidR="000557A3" w:rsidRPr="000557A3" w:rsidRDefault="000557A3" w:rsidP="000557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“MECSAI-Compatible SOEC Platform”</w:t>
      </w:r>
    </w:p>
    <w:p w14:paraId="18941CC9" w14:textId="77777777" w:rsidR="000557A3" w:rsidRPr="000557A3" w:rsidRDefault="000557A3" w:rsidP="000557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Joint white papers and case studies</w:t>
      </w:r>
    </w:p>
    <w:p w14:paraId="052115CD" w14:textId="77777777" w:rsidR="000557A3" w:rsidRPr="000557A3" w:rsidRDefault="000557A3" w:rsidP="000557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Operator-facing documentation highlighting:</w:t>
      </w:r>
    </w:p>
    <w:p w14:paraId="614E1796" w14:textId="77777777" w:rsidR="000557A3" w:rsidRPr="000557A3" w:rsidRDefault="000557A3" w:rsidP="000557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Compliance</w:t>
      </w:r>
    </w:p>
    <w:p w14:paraId="0BEBC597" w14:textId="77777777" w:rsidR="000557A3" w:rsidRPr="000557A3" w:rsidRDefault="000557A3" w:rsidP="000557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Predictive maintenance</w:t>
      </w:r>
    </w:p>
    <w:p w14:paraId="6F07DB23" w14:textId="77777777" w:rsidR="000557A3" w:rsidRPr="000557A3" w:rsidRDefault="000557A3" w:rsidP="000557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Extended stack life</w:t>
      </w:r>
    </w:p>
    <w:p w14:paraId="1B6ED124" w14:textId="77777777" w:rsidR="000557A3" w:rsidRPr="000557A3" w:rsidRDefault="000557A3" w:rsidP="0005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A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E6D97C" wp14:editId="473242B0">
                <wp:extent cx="5943600" cy="1270"/>
                <wp:effectExtent l="0" t="31750" r="0" b="36830"/>
                <wp:docPr id="59513184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AEBF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5A1C7C" w14:textId="77777777" w:rsidR="000557A3" w:rsidRPr="000557A3" w:rsidRDefault="000557A3" w:rsidP="000557A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Commercial Framework (Non-Binding)</w:t>
      </w:r>
    </w:p>
    <w:p w14:paraId="6D0382AE" w14:textId="77777777" w:rsidR="000557A3" w:rsidRPr="000557A3" w:rsidRDefault="000557A3" w:rsidP="000557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No exclusivity required</w:t>
      </w:r>
    </w:p>
    <w:p w14:paraId="3AB951E9" w14:textId="77777777" w:rsidR="000557A3" w:rsidRPr="000557A3" w:rsidRDefault="000557A3" w:rsidP="000557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MECSAI branding permitted in vendor materials</w:t>
      </w:r>
    </w:p>
    <w:p w14:paraId="7288257E" w14:textId="77777777" w:rsidR="000557A3" w:rsidRPr="000557A3" w:rsidRDefault="000557A3" w:rsidP="000557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lastRenderedPageBreak/>
        <w:t>Vendor branding permitted in MECSAI deployments</w:t>
      </w:r>
    </w:p>
    <w:p w14:paraId="6C134869" w14:textId="77777777" w:rsidR="000557A3" w:rsidRPr="000557A3" w:rsidRDefault="000557A3" w:rsidP="000557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Future integration roadmap optional</w:t>
      </w:r>
    </w:p>
    <w:p w14:paraId="3ACDC4BA" w14:textId="77777777" w:rsidR="000557A3" w:rsidRPr="000557A3" w:rsidRDefault="000557A3" w:rsidP="0005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A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352F34" wp14:editId="0960D2DB">
                <wp:extent cx="5943600" cy="1270"/>
                <wp:effectExtent l="0" t="31750" r="0" b="36830"/>
                <wp:docPr id="78465304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8128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00F2A9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BOTTOM LINE POSITIONING FOR VENDORS</w:t>
      </w:r>
    </w:p>
    <w:p w14:paraId="5669DDC3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6D6DAA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This is not a control takeover.</w:t>
      </w:r>
    </w:p>
    <w:p w14:paraId="1F14EBDA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This is observability, longevity, and compliance acceleration.</w:t>
      </w:r>
    </w:p>
    <w:p w14:paraId="00A8BC8D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562318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You are not asking them to:</w:t>
      </w:r>
    </w:p>
    <w:p w14:paraId="578D4090" w14:textId="77777777" w:rsidR="000557A3" w:rsidRPr="000557A3" w:rsidRDefault="000557A3" w:rsidP="000557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Change their stack chemistry</w:t>
      </w:r>
    </w:p>
    <w:p w14:paraId="60F2A861" w14:textId="77777777" w:rsidR="000557A3" w:rsidRPr="000557A3" w:rsidRDefault="000557A3" w:rsidP="000557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Hand over IP</w:t>
      </w:r>
    </w:p>
    <w:p w14:paraId="583289CC" w14:textId="77777777" w:rsidR="000557A3" w:rsidRPr="000557A3" w:rsidRDefault="000557A3" w:rsidP="000557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Surrender safety authority</w:t>
      </w:r>
    </w:p>
    <w:p w14:paraId="25DD3AEA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29FAC0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You are offering them:</w:t>
      </w:r>
    </w:p>
    <w:p w14:paraId="6C85661F" w14:textId="77777777" w:rsidR="000557A3" w:rsidRPr="000557A3" w:rsidRDefault="000557A3" w:rsidP="000557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A premium monitoring layer</w:t>
      </w:r>
    </w:p>
    <w:p w14:paraId="54ABB350" w14:textId="77777777" w:rsidR="000557A3" w:rsidRPr="000557A3" w:rsidRDefault="000557A3" w:rsidP="000557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Reduced warranty risk</w:t>
      </w:r>
    </w:p>
    <w:p w14:paraId="5A0AEE3C" w14:textId="77777777" w:rsidR="000557A3" w:rsidRPr="000557A3" w:rsidRDefault="000557A3" w:rsidP="000557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Differentiation in a crowded SOEC market</w:t>
      </w:r>
    </w:p>
    <w:p w14:paraId="70625C65" w14:textId="77777777" w:rsidR="000557A3" w:rsidRPr="000557A3" w:rsidRDefault="000557A3" w:rsidP="000557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A path to MECSAI-driven demand</w:t>
      </w:r>
    </w:p>
    <w:p w14:paraId="087F7E6A" w14:textId="77777777" w:rsidR="000557A3" w:rsidRPr="000557A3" w:rsidRDefault="000557A3" w:rsidP="00055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7A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85E3DD" wp14:editId="458379FD">
                <wp:extent cx="5943600" cy="1270"/>
                <wp:effectExtent l="0" t="33020" r="0" b="38100"/>
                <wp:docPr id="6168260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B630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215564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NEXT STEPS (YOUR CHOICE)</w:t>
      </w:r>
    </w:p>
    <w:p w14:paraId="7FD5AF99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I can:</w:t>
      </w:r>
    </w:p>
    <w:p w14:paraId="43BE6B5B" w14:textId="77777777" w:rsidR="000557A3" w:rsidRPr="000557A3" w:rsidRDefault="000557A3" w:rsidP="000557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Convert this into a formal RFP exhibit</w:t>
      </w:r>
    </w:p>
    <w:p w14:paraId="7B2955C0" w14:textId="77777777" w:rsidR="000557A3" w:rsidRPr="000557A3" w:rsidRDefault="000557A3" w:rsidP="000557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Add legal-ready warranty clauses</w:t>
      </w:r>
    </w:p>
    <w:p w14:paraId="7BCBA2D4" w14:textId="77777777" w:rsidR="000557A3" w:rsidRPr="000557A3" w:rsidRDefault="000557A3" w:rsidP="000557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Create a vendor pitch deck</w:t>
      </w:r>
    </w:p>
    <w:p w14:paraId="4E32976D" w14:textId="77777777" w:rsidR="000557A3" w:rsidRPr="000557A3" w:rsidRDefault="000557A3" w:rsidP="000557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Draft a MECSAI certification badge and definition</w:t>
      </w:r>
    </w:p>
    <w:p w14:paraId="05E8068B" w14:textId="77777777" w:rsidR="000557A3" w:rsidRPr="000557A3" w:rsidRDefault="000557A3" w:rsidP="000557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Or tailor this to a specific OEM profile (EU vs US vs Asia)</w:t>
      </w:r>
    </w:p>
    <w:p w14:paraId="314FC316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FBEC7F" w14:textId="77777777" w:rsidR="000557A3" w:rsidRPr="000557A3" w:rsidRDefault="000557A3" w:rsidP="000557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557A3">
        <w:rPr>
          <w:rFonts w:ascii="Times New Roman" w:hAnsi="Times New Roman" w:cs="Times New Roman"/>
          <w:kern w:val="0"/>
          <w14:ligatures w14:val="none"/>
        </w:rPr>
        <w:t>Tell me how aggressive you want to be and who the first targets are.</w:t>
      </w:r>
    </w:p>
    <w:p w14:paraId="4AAC9237" w14:textId="77777777" w:rsidR="000557A3" w:rsidRDefault="000557A3"/>
    <w:sectPr w:rsidR="00055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0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34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74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82B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507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D2E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310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831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51F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F10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95A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17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646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833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96D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208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797168">
    <w:abstractNumId w:val="11"/>
  </w:num>
  <w:num w:numId="2" w16cid:durableId="1424842174">
    <w:abstractNumId w:val="15"/>
  </w:num>
  <w:num w:numId="3" w16cid:durableId="885260502">
    <w:abstractNumId w:val="3"/>
  </w:num>
  <w:num w:numId="4" w16cid:durableId="97720870">
    <w:abstractNumId w:val="4"/>
  </w:num>
  <w:num w:numId="5" w16cid:durableId="1617636584">
    <w:abstractNumId w:val="8"/>
  </w:num>
  <w:num w:numId="6" w16cid:durableId="801578448">
    <w:abstractNumId w:val="1"/>
  </w:num>
  <w:num w:numId="7" w16cid:durableId="228852785">
    <w:abstractNumId w:val="9"/>
  </w:num>
  <w:num w:numId="8" w16cid:durableId="1950163846">
    <w:abstractNumId w:val="0"/>
  </w:num>
  <w:num w:numId="9" w16cid:durableId="643586920">
    <w:abstractNumId w:val="2"/>
  </w:num>
  <w:num w:numId="10" w16cid:durableId="1702627400">
    <w:abstractNumId w:val="10"/>
  </w:num>
  <w:num w:numId="11" w16cid:durableId="601571494">
    <w:abstractNumId w:val="12"/>
  </w:num>
  <w:num w:numId="12" w16cid:durableId="1081098443">
    <w:abstractNumId w:val="14"/>
  </w:num>
  <w:num w:numId="13" w16cid:durableId="1396394821">
    <w:abstractNumId w:val="13"/>
  </w:num>
  <w:num w:numId="14" w16cid:durableId="312298752">
    <w:abstractNumId w:val="6"/>
  </w:num>
  <w:num w:numId="15" w16cid:durableId="1673407605">
    <w:abstractNumId w:val="5"/>
  </w:num>
  <w:num w:numId="16" w16cid:durableId="18548057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A3"/>
    <w:rsid w:val="000557A3"/>
    <w:rsid w:val="009D341B"/>
    <w:rsid w:val="00C2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948FB"/>
  <w15:chartTrackingRefBased/>
  <w15:docId w15:val="{E9F2C67C-5C01-294A-A358-AABAB945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7A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557A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557A3"/>
  </w:style>
  <w:style w:type="paragraph" w:customStyle="1" w:styleId="p2">
    <w:name w:val="p2"/>
    <w:basedOn w:val="Normal"/>
    <w:rsid w:val="000557A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557A3"/>
  </w:style>
  <w:style w:type="character" w:customStyle="1" w:styleId="s3">
    <w:name w:val="s3"/>
    <w:basedOn w:val="DefaultParagraphFont"/>
    <w:rsid w:val="00055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2026-01-12T04:52:00Z</dcterms:created>
  <dcterms:modified xsi:type="dcterms:W3CDTF">2026-01-12T04:52:00Z</dcterms:modified>
</cp:coreProperties>
</file>