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9DF5" w14:textId="77777777" w:rsidR="00B0126B" w:rsidRDefault="00C662C3">
      <w:pPr>
        <w:jc w:val="center"/>
      </w:pPr>
      <w:r>
        <w:rPr>
          <w:b/>
          <w:sz w:val="32"/>
        </w:rPr>
        <w:t>TERRESTRIAL DATA CENTER PROGRAM ROADMAP</w:t>
      </w:r>
      <w:r>
        <w:rPr>
          <w:b/>
          <w:sz w:val="32"/>
        </w:rPr>
        <w:br/>
        <w:t>BUILDINGS 1-16, MULTI-CAMPUS SCALE, AND INTERPLANETARY ENABLEMENT</w:t>
      </w:r>
    </w:p>
    <w:p w14:paraId="4E018E27" w14:textId="77777777" w:rsidR="00B0126B" w:rsidRDefault="00B0126B"/>
    <w:p w14:paraId="2CB75951" w14:textId="77777777" w:rsidR="00B0126B" w:rsidRDefault="00C662C3">
      <w:pPr>
        <w:jc w:val="center"/>
      </w:pPr>
      <w:r>
        <w:rPr>
          <w:b/>
        </w:rPr>
        <w:t>Document ID: ASG-HDS-DC-RM-001</w:t>
      </w:r>
      <w:r>
        <w:rPr>
          <w:b/>
        </w:rPr>
        <w:br/>
        <w:t>Revision: Rev A</w:t>
      </w:r>
      <w:r>
        <w:rPr>
          <w:b/>
        </w:rPr>
        <w:br/>
        <w:t>Status: Draft - Internal</w:t>
      </w:r>
      <w:r>
        <w:rPr>
          <w:b/>
        </w:rPr>
        <w:br/>
      </w:r>
      <w:r>
        <w:rPr>
          <w:b/>
        </w:rPr>
        <w:t>Owner: Atlas Systems Group (Hermes Data Systems)</w:t>
      </w:r>
      <w:r>
        <w:rPr>
          <w:b/>
        </w:rPr>
        <w:br/>
        <w:t>Date: 2026-01-11</w:t>
      </w:r>
    </w:p>
    <w:p w14:paraId="10EA4887" w14:textId="77777777" w:rsidR="00B0126B" w:rsidRDefault="00C662C3">
      <w:r>
        <w:br w:type="page"/>
      </w:r>
    </w:p>
    <w:p w14:paraId="06ED1D31" w14:textId="77777777" w:rsidR="00B0126B" w:rsidRDefault="00C662C3">
      <w:pPr>
        <w:pStyle w:val="Heading1"/>
      </w:pPr>
      <w:r>
        <w:lastRenderedPageBreak/>
        <w:t>1. Executive Summary</w:t>
      </w:r>
    </w:p>
    <w:p w14:paraId="5185927A" w14:textId="77777777" w:rsidR="00B0126B" w:rsidRDefault="00C662C3">
      <w:r>
        <w:t>This document defines the phased roadmap for Hermes Data Systems (a subsidiary of Atlas Systems Group) to deploy and scale a standardized, high-density AI data center building template from Building 1 proof-of-concept through Phase 3 multi-campus replication. The terrestrial data center network is the primary revenue engine that funds long-horizon R&amp;D (Athena Intelligence / MECSAI, Hephaestus Robotics &amp; Automation) and enables Atlas’ interplanetary scope (Apollo Orbital Systems, OSY operations).</w:t>
      </w:r>
    </w:p>
    <w:p w14:paraId="0C513C92" w14:textId="77777777" w:rsidR="00B0126B" w:rsidRDefault="00C662C3">
      <w:r>
        <w:t>Key doctrine: design for modular replication, deterministic operations, hardware-first safety, and auditability. Each building is a repeatable compute plant, and each campus is a repeatable compute industrial node. Campuses federate to operate as a single project-scale compute organism while maintaining fault-domain containment.</w:t>
      </w:r>
    </w:p>
    <w:p w14:paraId="238D763F" w14:textId="77777777" w:rsidR="00B0126B" w:rsidRDefault="00C662C3">
      <w:pPr>
        <w:pStyle w:val="Heading1"/>
      </w:pPr>
      <w:r>
        <w:t>2. Scope and Assumptions</w:t>
      </w:r>
    </w:p>
    <w:p w14:paraId="04FE1420" w14:textId="77777777" w:rsidR="00B0126B" w:rsidRDefault="00C662C3">
      <w:r>
        <w:t>2.1 Scope</w:t>
      </w:r>
    </w:p>
    <w:p w14:paraId="2256BCCF" w14:textId="77777777" w:rsidR="00B0126B" w:rsidRDefault="00C662C3">
      <w:r>
        <w:t>- Terrestrial data center deployment sequence: Heber Campus -&gt; Holbrook Ranch -&gt; additional regional campuses (NV, ID, UT, WY).</w:t>
      </w:r>
      <w:r>
        <w:br/>
        <w:t>- Standard building template: high-density AI-oriented, liquid-cooled, modular pod architecture with a dedicated utility bay.</w:t>
      </w:r>
      <w:r>
        <w:br/>
        <w:t>- Federation: cross-campus workload orchestration, capacity pooling, and resilience operating doctrine.</w:t>
      </w:r>
      <w:r>
        <w:br/>
        <w:t>- Economic linkage: how DC revenue funds R&amp;D and the space leg of operations.</w:t>
      </w:r>
      <w:r>
        <w:br/>
        <w:t>- Governance: phase gates and acceptance metrics for expansion.</w:t>
      </w:r>
    </w:p>
    <w:p w14:paraId="749618FA" w14:textId="77777777" w:rsidR="00B0126B" w:rsidRDefault="00C662C3">
      <w:r>
        <w:t>2.2 Assumptions</w:t>
      </w:r>
    </w:p>
    <w:p w14:paraId="3D492F79" w14:textId="77777777" w:rsidR="00B0126B" w:rsidRDefault="00C662C3">
      <w:r>
        <w:t>- DC buildings are designed for high density; power/cooling supply is provided as a campus-level utility.</w:t>
      </w:r>
      <w:r>
        <w:br/>
        <w:t>- Building 1 is intentionally over-instrumented and overbuilt to validate design envelopes and operating doctrine.</w:t>
      </w:r>
      <w:r>
        <w:br/>
        <w:t>- Expansion is demand-driven and gated by utilization, uptime, DSCR, and night-load management performance.</w:t>
      </w:r>
      <w:r>
        <w:br/>
        <w:t>- MECSAI acts as supervisory intelligence. Safety and fault interruption are enforced in hardware and safety PLC/SIS.</w:t>
      </w:r>
      <w:r>
        <w:br/>
        <w:t>- Orbital data centers and OSY compute systems are downstream translations of terrestrial doctrine (layout, fault domains, automation).</w:t>
      </w:r>
    </w:p>
    <w:p w14:paraId="3BAF0A27" w14:textId="77777777" w:rsidR="00B0126B" w:rsidRDefault="00C662C3">
      <w:pPr>
        <w:pStyle w:val="Heading1"/>
      </w:pPr>
      <w:r>
        <w:t>3. Standard DC Building Template (Rev A)</w:t>
      </w:r>
    </w:p>
    <w:p w14:paraId="452541CD" w14:textId="77777777" w:rsidR="00B0126B" w:rsidRDefault="00C662C3">
      <w:r>
        <w:t>3.1 Geometry and Functional Partitioning</w:t>
      </w:r>
    </w:p>
    <w:p w14:paraId="415A21D3" w14:textId="77777777" w:rsidR="00B0126B" w:rsidRDefault="00C662C3">
      <w:r>
        <w:lastRenderedPageBreak/>
        <w:t>- Footprint: 160 ft (W) x 600 ft (L) = 96,000 sqft</w:t>
      </w:r>
      <w:r>
        <w:br/>
        <w:t>- Clear interior height: 30 ft</w:t>
      </w:r>
      <w:r>
        <w:br/>
        <w:t>- Compute bay: 100 ft clear-span (column-free), racks and aisles only</w:t>
      </w:r>
      <w:r>
        <w:br/>
        <w:t>- Utility bay: 60 ft wide, floor 1 ft lower, sloped to center trench drain (full length)</w:t>
      </w:r>
      <w:r>
        <w:br/>
        <w:t>- Zoning: 4 operational zones per building (150 ft each) with mid-zone cross aisles</w:t>
      </w:r>
      <w:r>
        <w:br/>
        <w:t>- Pods: 32-rack pod standard; 8 pods per zone; 1,024 racks per building baseline</w:t>
      </w:r>
      <w:r>
        <w:br/>
        <w:t>- Mobility: scooters and robotics in utility bay only; compute bay pedestrian-only</w:t>
      </w:r>
      <w:r>
        <w:br/>
        <w:t>- Cooling: direct-to-chip liquid cooling; ammonia excluded from building;</w:t>
      </w:r>
      <w:r>
        <w:t xml:space="preserve"> HX transfer to secondary loops</w:t>
      </w:r>
      <w:r>
        <w:br/>
        <w:t>- Roof/envelope: dual-slope standing seam roof over waterproof deck, zero roof penetrations</w:t>
      </w:r>
    </w:p>
    <w:p w14:paraId="39D07904" w14:textId="77777777" w:rsidR="00B0126B" w:rsidRDefault="00C662C3">
      <w:r>
        <w:t>3.2 Electrical and Thermal Envelopes (Planning Bands)</w:t>
      </w:r>
    </w:p>
    <w:p w14:paraId="0DBF4E5F" w14:textId="77777777" w:rsidR="00B0126B" w:rsidRDefault="00C662C3">
      <w:r>
        <w:t>Two planning bands are maintained:</w:t>
      </w:r>
      <w:r>
        <w:br/>
        <w:t>A) Legacy baseline bands used in campus doctrine and early planning: 50 MW IT per building.</w:t>
      </w:r>
      <w:r>
        <w:br/>
        <w:t>B) High-density envelope capability of the Rev A building template: ~120-150+ MW nominal/sustained depending on rack mix and contracts.</w:t>
      </w:r>
      <w:r>
        <w:br/>
        <w:t>Actual commissioning will validate achievable sustained capacity per building; contracts and workload classes will be structured to match.</w:t>
      </w:r>
    </w:p>
    <w:p w14:paraId="7F2E43A9" w14:textId="77777777" w:rsidR="00B0126B" w:rsidRDefault="00C662C3">
      <w:r>
        <w:t>3.3 Building 1 Proof-of-Concept Additions</w:t>
      </w:r>
    </w:p>
    <w:p w14:paraId="2CE6B098" w14:textId="77777777" w:rsidR="00B0126B" w:rsidRDefault="00C662C3">
      <w:r>
        <w:t>- Expanded instrumentation: power quality, thermal gradients, leak detection density, structural sensors.</w:t>
      </w:r>
      <w:r>
        <w:br/>
        <w:t>- Overcapacity allowances: spare CDU margin, additional service node capacity, expanded test racks.</w:t>
      </w:r>
      <w:r>
        <w:br/>
        <w:t>- Validation objective: produce an operational playbook and replication kit for Buildings 2-16.</w:t>
      </w:r>
    </w:p>
    <w:p w14:paraId="291176FC" w14:textId="77777777" w:rsidR="00B0126B" w:rsidRDefault="00C662C3">
      <w:pPr>
        <w:pStyle w:val="Heading1"/>
      </w:pPr>
      <w:r>
        <w:t>4. Phased Deployment Roadmap</w:t>
      </w:r>
    </w:p>
    <w:p w14:paraId="1E0E6B21" w14:textId="77777777" w:rsidR="00B0126B" w:rsidRDefault="00C662C3">
      <w:r>
        <w:t>4.1 Phase 1 - Heber Campus Tranche A (Buildings 1-4)</w:t>
      </w:r>
    </w:p>
    <w:p w14:paraId="2A3092B4" w14:textId="77777777" w:rsidR="00B0126B" w:rsidRDefault="00C662C3">
      <w:r>
        <w:t>- Build and commission Building 1 (POC) under full envelope instrumentation.</w:t>
      </w:r>
      <w:r>
        <w:br/>
        <w:t>- Validate: rack density operations, liquid cooling stability, fault domain containment, mobility doctrine, MECSAI observability.</w:t>
      </w:r>
      <w:r>
        <w:br/>
        <w:t>- Commission Buildings 2-4 using replication kit, reduced instrumentation, faster commissioning.</w:t>
      </w:r>
      <w:r>
        <w:br/>
        <w:t>- Establish initial customer base and secure long-duration capacity contracts.</w:t>
      </w:r>
    </w:p>
    <w:p w14:paraId="2478C255" w14:textId="77777777" w:rsidR="00B0126B" w:rsidRDefault="00C662C3">
      <w:r>
        <w:t>4.2 Phase 2 - Heber Expansion + Holbrook Pilot</w:t>
      </w:r>
    </w:p>
    <w:p w14:paraId="47C40089" w14:textId="77777777" w:rsidR="00B0126B" w:rsidRDefault="00C662C3">
      <w:r>
        <w:t>- Expand Heber toward 8 buildings total (Phase 2 baseline in campus doctrine).</w:t>
      </w:r>
      <w:r>
        <w:br/>
        <w:t>- Begin Holbrook Ranch pilot deployment (Building 1 at Holbrook) using the standardized template.</w:t>
      </w:r>
      <w:r>
        <w:br/>
        <w:t xml:space="preserve">- Implement federation doctrine: cross-site workload classes, latency-aware scheduling, failover </w:t>
      </w:r>
      <w:r>
        <w:lastRenderedPageBreak/>
        <w:t>protocols.</w:t>
      </w:r>
      <w:r>
        <w:br/>
        <w:t>- Mature MECSAI: multi-campus dispatch, maintenance prediction, and night-load shaping support.</w:t>
      </w:r>
    </w:p>
    <w:p w14:paraId="45555073" w14:textId="77777777" w:rsidR="00B0126B" w:rsidRDefault="00C662C3">
      <w:r>
        <w:t>4.3 Phase 3 - Full Campus Scale and Regional Replication</w:t>
      </w:r>
    </w:p>
    <w:p w14:paraId="74FC2CF5" w14:textId="77777777" w:rsidR="00B0126B" w:rsidRDefault="00C662C3">
      <w:r>
        <w:t>- Scale Heber to 16 buildings total.</w:t>
      </w:r>
      <w:r>
        <w:br/>
        <w:t>- Scale Holbrook to 16 buildings total.</w:t>
      </w:r>
      <w:r>
        <w:br/>
        <w:t>- Deploy additional regional campuses (NV, ID, UT, WY), each scaling toward 16 buildings.</w:t>
      </w:r>
      <w:r>
        <w:br/>
        <w:t>- Total target: 6 campuses x 16 buildings = 96 buildings.</w:t>
      </w:r>
      <w:r>
        <w:br/>
        <w:t>- Build as modular tranches with pads and utility corridors reserved from day one.</w:t>
      </w:r>
    </w:p>
    <w:p w14:paraId="0955A366" w14:textId="77777777" w:rsidR="00B0126B" w:rsidRDefault="00C662C3">
      <w:pPr>
        <w:pStyle w:val="Heading1"/>
      </w:pPr>
      <w:r>
        <w:t>5. Federation and Multi-Campus Operation</w:t>
      </w:r>
    </w:p>
    <w:p w14:paraId="356A4537" w14:textId="77777777" w:rsidR="00B0126B" w:rsidRDefault="00C662C3">
      <w:r>
        <w:t>5.1 Federation Objectives</w:t>
      </w:r>
    </w:p>
    <w:p w14:paraId="48EE1B8F" w14:textId="77777777" w:rsidR="00B0126B" w:rsidRDefault="00C662C3">
      <w:r>
        <w:t>- Treat all campuses as a single schedulable resource pool while preserving physical fault containment.</w:t>
      </w:r>
      <w:r>
        <w:br/>
        <w:t>- Support single-project execution (training runs, simulation workloads, CAD/FEA pipelines) across multiple campuses.</w:t>
      </w:r>
      <w:r>
        <w:br/>
        <w:t>- Maintain sovereign and regulated partitions where required.</w:t>
      </w:r>
      <w:r>
        <w:br/>
        <w:t>- Enable resilience: any campus can shed or absorb load without destabilizing the system.</w:t>
      </w:r>
    </w:p>
    <w:p w14:paraId="71A408D9" w14:textId="77777777" w:rsidR="00B0126B" w:rsidRDefault="00C662C3">
      <w:r>
        <w:t>5.2 Workload Classes</w:t>
      </w:r>
    </w:p>
    <w:p w14:paraId="3CF46D1C" w14:textId="77777777" w:rsidR="00B0126B" w:rsidRDefault="00C662C3">
      <w:r>
        <w:t>- Tier 0: must-run services and critical workloads (no throttling)</w:t>
      </w:r>
      <w:r>
        <w:br/>
        <w:t>- Tier 1: priority workloads (limited shaping allowed)</w:t>
      </w:r>
      <w:r>
        <w:br/>
        <w:t>- Tier 2: deferrable batch workloads (night shaping and relocation allowed)</w:t>
      </w:r>
      <w:r>
        <w:br/>
        <w:t>Contracts must explicitly permit Tier 2 shaping and relocation to support green compliance and economic optimization.</w:t>
      </w:r>
    </w:p>
    <w:p w14:paraId="080AA3D1" w14:textId="77777777" w:rsidR="00B0126B" w:rsidRDefault="00C662C3">
      <w:r>
        <w:t>5.3 Data Gravity and Network Doctrine</w:t>
      </w:r>
    </w:p>
    <w:p w14:paraId="1B3B37D5" w14:textId="77777777" w:rsidR="00B0126B" w:rsidRDefault="00C662C3">
      <w:r>
        <w:t>- Use campus-local compute for data-heavy workloads to minimize cross-site transport.</w:t>
      </w:r>
      <w:r>
        <w:br/>
        <w:t>- Use cross-campus federation for model-parallel training, large simulation sweeps, and redundancy.</w:t>
      </w:r>
      <w:r>
        <w:br/>
        <w:t>- Maintain diverse fiber ingress and ring topology per campus; inter-campus links sized for planned synchronous workloads.</w:t>
      </w:r>
    </w:p>
    <w:p w14:paraId="49D9B4FA" w14:textId="77777777" w:rsidR="00B0126B" w:rsidRDefault="00C662C3">
      <w:pPr>
        <w:pStyle w:val="Heading1"/>
      </w:pPr>
      <w:r>
        <w:t>6. Revenue Engine and Interplanetary Enablement</w:t>
      </w:r>
    </w:p>
    <w:p w14:paraId="4000C96A" w14:textId="77777777" w:rsidR="00B0126B" w:rsidRDefault="00C662C3">
      <w:r>
        <w:t>6.1 Terrestrial Revenue Role</w:t>
      </w:r>
    </w:p>
    <w:p w14:paraId="793BC53D" w14:textId="77777777" w:rsidR="00B0126B" w:rsidRDefault="00C662C3">
      <w:r>
        <w:t xml:space="preserve">Terrestrial data centers are the primary profit engine. Excess power sales offset campus overhead and stabilize operations, while fuels provide additional cash flow resilience. The data </w:t>
      </w:r>
      <w:r>
        <w:lastRenderedPageBreak/>
        <w:t>center leg is designed to be the highest-margin scalable revenue stream and is used to fund R&amp;D and the space leg.</w:t>
      </w:r>
    </w:p>
    <w:p w14:paraId="050ABE48" w14:textId="77777777" w:rsidR="00B0126B" w:rsidRDefault="00C662C3">
      <w:r>
        <w:t>6.2 R&amp;D Enablement</w:t>
      </w:r>
    </w:p>
    <w:p w14:paraId="08329339" w14:textId="77777777" w:rsidR="00B0126B" w:rsidRDefault="00C662C3">
      <w:r>
        <w:t>- Fund Athena Intelligence / MECSAI productization and external pilots.</w:t>
      </w:r>
      <w:r>
        <w:br/>
        <w:t>- Fund Hephaestus Robotics &amp; Automation: industrial and service robotics, autonomous maintenance, and manufacturing automation.</w:t>
      </w:r>
      <w:r>
        <w:br/>
        <w:t>- Fund world-engine simulation and VR training environments for robotics and operations.</w:t>
      </w:r>
      <w:r>
        <w:br/>
        <w:t>- Accelerate materials research and multi-material additive manufacturing for space-rated components.</w:t>
      </w:r>
    </w:p>
    <w:p w14:paraId="174694A0" w14:textId="77777777" w:rsidR="00B0126B" w:rsidRDefault="00C662C3">
      <w:r>
        <w:t>6.3 Space Enablement</w:t>
      </w:r>
    </w:p>
    <w:p w14:paraId="09C08A55" w14:textId="77777777" w:rsidR="00B0126B" w:rsidRDefault="00C662C3">
      <w:r>
        <w:t>- Terrestrial DCs provide the compute needed for full-fidelity simulation of OSY operations, orbital data center operations, and multi-planet logistics.</w:t>
      </w:r>
      <w:r>
        <w:br/>
        <w:t>- The terrestrial operating doctrine (modularity, fault domains, automation, maintenance choreography) is designed to translate into orbital deployments.</w:t>
      </w:r>
      <w:r>
        <w:br/>
        <w:t>- MECSAI matures on Earth, then is deployed as the supervisory layer for orbital and off-planet infrastructure under the same safety boundaries.</w:t>
      </w:r>
    </w:p>
    <w:p w14:paraId="3A8787F1" w14:textId="77777777" w:rsidR="00B0126B" w:rsidRDefault="00C662C3">
      <w:pPr>
        <w:pStyle w:val="Heading1"/>
      </w:pPr>
      <w:r>
        <w:t>7. Phase Gates and Acceptance Metrics</w:t>
      </w:r>
    </w:p>
    <w:p w14:paraId="7C76F0B4" w14:textId="77777777" w:rsidR="00B0126B" w:rsidRDefault="00C662C3">
      <w:r>
        <w:t>Expansion is demand-driven and gated by minimum performance thresholds. Example gates include:</w:t>
      </w:r>
      <w:r>
        <w:br/>
        <w:t>- DC utilization thresholds (sustained high utilization prior to building the next tranche)</w:t>
      </w:r>
      <w:r>
        <w:br/>
        <w:t>- Uptime targets and stability in operations</w:t>
      </w:r>
      <w:r>
        <w:br/>
        <w:t>- DSCR and cash flow performance for financeability</w:t>
      </w:r>
      <w:r>
        <w:br/>
        <w:t>- Night-load shaping performance without routine backup fuel use</w:t>
      </w:r>
      <w:r>
        <w:br/>
        <w:t>- Replication success (build-to-build repeatability, commissioning speed, reduced defects)</w:t>
      </w:r>
    </w:p>
    <w:p w14:paraId="79FD2685" w14:textId="77777777" w:rsidR="00B0126B" w:rsidRDefault="00C662C3">
      <w:pPr>
        <w:pStyle w:val="Heading1"/>
      </w:pPr>
      <w:r>
        <w:t>8. Key Risks and Mitigations</w:t>
      </w:r>
    </w:p>
    <w:p w14:paraId="7FBBA357" w14:textId="77777777" w:rsidR="00B0126B" w:rsidRDefault="00C662C3">
      <w:r>
        <w:t>- Supply chain: mitigate with multi-vendor strategy, standardized interfaces, and staged procurement.</w:t>
      </w:r>
      <w:r>
        <w:br/>
        <w:t>- Fiber and latency: mitigate via diverse carriers, ring designs, and workload placement doctrine.</w:t>
      </w:r>
      <w:r>
        <w:br/>
        <w:t>- Workforce and operations: mitigate via repeatable building design, service automation, and robotics.</w:t>
      </w:r>
      <w:r>
        <w:br/>
        <w:t>- Permitting and jurisdiction variance: mitigate via standardized permitting packets and phased site selection.</w:t>
      </w:r>
      <w:r>
        <w:br/>
        <w:t>- Security: mitigate via sovereign partitioning, air-gapped options, and hardware-first safety doctrine.</w:t>
      </w:r>
    </w:p>
    <w:p w14:paraId="5C763784" w14:textId="77777777" w:rsidR="00B0126B" w:rsidRDefault="00C662C3">
      <w:pPr>
        <w:pStyle w:val="Heading1"/>
      </w:pPr>
      <w:r>
        <w:lastRenderedPageBreak/>
        <w:t>9. Immediate Next Actions</w:t>
      </w:r>
    </w:p>
    <w:p w14:paraId="3E3CA6FC" w14:textId="77777777" w:rsidR="00B0126B" w:rsidRDefault="00C662C3">
      <w:r>
        <w:t>- Finalize Building 1 detailed design package (A/E set) and commissioning test plan.</w:t>
      </w:r>
      <w:r>
        <w:br/>
        <w:t>- Define federation requirements: inter-campus network targets, workload orchestration policies, and partitioning.</w:t>
      </w:r>
      <w:r>
        <w:br/>
        <w:t>- Create replication kit: standard drawings, procurement specs, commissioning scripts, and maintenance playbooks.</w:t>
      </w:r>
      <w:r>
        <w:br/>
        <w:t>- Publish internal revenue allocation policy: DC profit -&gt; R&amp;D -&gt; space leg funding.</w:t>
      </w:r>
      <w:r>
        <w:br/>
        <w:t>- Establish site selection shortlist for NV, ID, UT, WY with power, fiber, and permitting constraints.</w:t>
      </w:r>
    </w:p>
    <w:p w14:paraId="37DED7D5" w14:textId="77777777" w:rsidR="00B0126B" w:rsidRDefault="00C662C3">
      <w:pPr>
        <w:pStyle w:val="Heading1"/>
      </w:pPr>
      <w:r>
        <w:t>10. Internal Reference Documents</w:t>
      </w:r>
    </w:p>
    <w:p w14:paraId="7B0AC863" w14:textId="77777777" w:rsidR="00B0126B" w:rsidRDefault="00C662C3">
      <w:r>
        <w:t>- HC-MGD-001 Rev A (Master Guideline Document)</w:t>
      </w:r>
      <w:r>
        <w:br/>
        <w:t>- HC-SFR-001 Rev A (Strategic Findings and Rationale)</w:t>
      </w:r>
      <w:r>
        <w:br/>
        <w:t>- HC-PH2-001 Rev A (Phase 2 Operating and Financial Doctrine)</w:t>
      </w:r>
      <w:r>
        <w:br/>
        <w:t>- HC-PH3-001 Rev A (Phase 3 Expansion and Scale Doctrine)</w:t>
      </w:r>
      <w:r>
        <w:br/>
        <w:t>- Appendix H (HRWL Architecture and Control Doctrine)</w:t>
      </w:r>
      <w:r>
        <w:br/>
        <w:t>- MECSAI Hardware Fault Control and SCADA Integration Report</w:t>
      </w:r>
    </w:p>
    <w:sectPr w:rsidR="00B012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510523">
    <w:abstractNumId w:val="8"/>
  </w:num>
  <w:num w:numId="2" w16cid:durableId="1250850203">
    <w:abstractNumId w:val="6"/>
  </w:num>
  <w:num w:numId="3" w16cid:durableId="1567497825">
    <w:abstractNumId w:val="5"/>
  </w:num>
  <w:num w:numId="4" w16cid:durableId="1329017844">
    <w:abstractNumId w:val="4"/>
  </w:num>
  <w:num w:numId="5" w16cid:durableId="631208477">
    <w:abstractNumId w:val="7"/>
  </w:num>
  <w:num w:numId="6" w16cid:durableId="587077728">
    <w:abstractNumId w:val="3"/>
  </w:num>
  <w:num w:numId="7" w16cid:durableId="675695500">
    <w:abstractNumId w:val="2"/>
  </w:num>
  <w:num w:numId="8" w16cid:durableId="1856848530">
    <w:abstractNumId w:val="1"/>
  </w:num>
  <w:num w:numId="9" w16cid:durableId="194715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17C8"/>
    <w:rsid w:val="00AA1D8D"/>
    <w:rsid w:val="00B0126B"/>
    <w:rsid w:val="00B47730"/>
    <w:rsid w:val="00C662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05D14"/>
  <w14:defaultImageDpi w14:val="300"/>
  <w15:docId w15:val="{E498989A-F928-4F89-BBA3-E117A163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1398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GARY SPEAR</cp:lastModifiedBy>
  <cp:revision>2</cp:revision>
  <dcterms:created xsi:type="dcterms:W3CDTF">2026-01-11T22:27:00Z</dcterms:created>
  <dcterms:modified xsi:type="dcterms:W3CDTF">2026-01-11T22:27:00Z</dcterms:modified>
  <cp:category/>
</cp:coreProperties>
</file>