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HDS-DC-BENCH-001</w:t>
        <w:br/>
        <w:t>Rainier vs Hermes Benchmarks</w:t>
        <w:br/>
        <w:t>Terrestrial AI Data Center Envelope, Efficiency, and Federation Targets</w:t>
      </w:r>
    </w:p>
    <w:p>
      <w:pPr>
        <w:jc w:val="center"/>
      </w:pPr>
      <w:r>
        <w:rPr>
          <w:b/>
        </w:rPr>
        <w:t>Owner: Atlas Systems Group - Hermes Data Systems</w:t>
        <w:br/>
        <w:t>Revision: Rev A</w:t>
        <w:br/>
        <w:t>Status: Draft - Internal</w:t>
        <w:br/>
        <w:t>Date: 2026-01-12</w:t>
      </w:r>
    </w:p>
    <w:p/>
    <w:p>
      <w:pPr>
        <w:pStyle w:val="Heading1"/>
      </w:pPr>
      <w:r>
        <w:t>1. Purpose</w:t>
      </w:r>
    </w:p>
    <w:p>
      <w:r>
        <w:t>Define benchmark comparisons and internal target envelopes for Hermes Data Systems (HDS) AI data centers, using AWS Project Rainier as a public reference point. This sheet is used for engineering alignment, vendor procurement, insurer review, customer contracting, and multi-campus federation planning.</w:t>
      </w:r>
    </w:p>
    <w:p>
      <w:pPr>
        <w:pStyle w:val="Heading1"/>
      </w:pPr>
      <w:r>
        <w:t>2. Public Reference Snapshot</w:t>
      </w:r>
    </w:p>
    <w:p>
      <w:r>
        <w:t>Project Rainier (AWS) is publicly described as one of the world's largest AI compute clusters, now in use, built around AWS Trainium2 custom silicon for partner workloads. AWS states it began with nearly half a million Trainium2 chips and expects it to scale to more than 1 million Trainium2 chips by end of 2025. AWS also publishes a global data center WUE of 0.15 L/kWh and describes Trainium3 UltraServers as delivering up to 4.4x higher performance and over 4x better energy efficiency compared to Trainium2 UltraServers.</w:t>
      </w:r>
    </w:p>
    <w:p>
      <w:pPr>
        <w:pStyle w:val="Heading1"/>
      </w:pPr>
      <w:r>
        <w:t>3. Hermes Baseline Building Template</w:t>
      </w:r>
    </w:p>
    <w:p>
      <w:r>
        <w:t>Hermes baseline building template (Rev A): 160 ft x 600 ft (96,000 sqft), 30 ft clear height, 100 ft compute bay + 60 ft utility bay with 1 ft lowered floor and full-length trench drain. Compute bay includes 4 double-row rack blocks across (8 rows). Building is segmented into 4 zones (150 ft each). Pod standard: 32-rack pods; baseline 8 pods per zone; baseline 1,024 racks per building.</w:t>
      </w:r>
    </w:p>
    <w:p>
      <w:pPr>
        <w:pStyle w:val="Heading1"/>
      </w:pPr>
      <w:r>
        <w:t>4. Benchmarks and Targets</w:t>
      </w:r>
    </w:p>
    <w:tbl>
      <w:tblPr>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Public Reference (Rainier)</w:t>
            </w:r>
          </w:p>
        </w:tc>
        <w:tc>
          <w:tcPr>
            <w:tcW w:type="dxa" w:w="2160"/>
          </w:tcPr>
          <w:p>
            <w:r>
              <w:t>Hermes Target (Rev A)</w:t>
            </w:r>
          </w:p>
        </w:tc>
        <w:tc>
          <w:tcPr>
            <w:tcW w:type="dxa" w:w="2160"/>
          </w:tcPr>
          <w:p>
            <w:r>
              <w:t>Notes</w:t>
            </w:r>
          </w:p>
        </w:tc>
      </w:tr>
      <w:tr>
        <w:tc>
          <w:tcPr>
            <w:tcW w:type="dxa" w:w="2160"/>
          </w:tcPr>
          <w:p>
            <w:r>
              <w:t>Primary role</w:t>
            </w:r>
          </w:p>
        </w:tc>
        <w:tc>
          <w:tcPr>
            <w:tcW w:type="dxa" w:w="2160"/>
          </w:tcPr>
          <w:p>
            <w:r>
              <w:t>Dedicated AI supercluster (Trainium-first)</w:t>
            </w:r>
          </w:p>
        </w:tc>
        <w:tc>
          <w:tcPr>
            <w:tcW w:type="dxa" w:w="2160"/>
          </w:tcPr>
          <w:p>
            <w:r>
              <w:t>Neutral AI utility building template</w:t>
            </w:r>
          </w:p>
        </w:tc>
        <w:tc>
          <w:tcPr>
            <w:tcW w:type="dxa" w:w="2160"/>
          </w:tcPr>
          <w:p>
            <w:r>
              <w:t>Hermes supports multiple accelerator lanes and customer stacks.</w:t>
            </w:r>
          </w:p>
        </w:tc>
      </w:tr>
      <w:tr>
        <w:tc>
          <w:tcPr>
            <w:tcW w:type="dxa" w:w="2160"/>
          </w:tcPr>
          <w:p>
            <w:r>
              <w:t>Power scale</w:t>
            </w:r>
          </w:p>
        </w:tc>
        <w:tc>
          <w:tcPr>
            <w:tcW w:type="dxa" w:w="2160"/>
          </w:tcPr>
          <w:p>
            <w:r>
              <w:t>Campus-scale; large multi-building site (reported GW-class)</w:t>
            </w:r>
          </w:p>
        </w:tc>
        <w:tc>
          <w:tcPr>
            <w:tcW w:type="dxa" w:w="2160"/>
          </w:tcPr>
          <w:p>
            <w:r>
              <w:t>Per building: high-density envelope; per campus: 16 buildings; multi-campus federation</w:t>
            </w:r>
          </w:p>
        </w:tc>
        <w:tc>
          <w:tcPr>
            <w:tcW w:type="dxa" w:w="2160"/>
          </w:tcPr>
          <w:p>
            <w:r>
              <w:t>Hermes scales by replication across 6 independent locations.</w:t>
            </w:r>
          </w:p>
        </w:tc>
      </w:tr>
      <w:tr>
        <w:tc>
          <w:tcPr>
            <w:tcW w:type="dxa" w:w="2160"/>
          </w:tcPr>
          <w:p>
            <w:r>
              <w:t>Silicon lane strategy</w:t>
            </w:r>
          </w:p>
        </w:tc>
        <w:tc>
          <w:tcPr>
            <w:tcW w:type="dxa" w:w="2160"/>
          </w:tcPr>
          <w:p>
            <w:r>
              <w:t>Trainium2/Trainium3 ecosystem</w:t>
            </w:r>
          </w:p>
        </w:tc>
        <w:tc>
          <w:tcPr>
            <w:tcW w:type="dxa" w:w="2160"/>
          </w:tcPr>
          <w:p>
            <w:r>
              <w:t>Lane A: Nvidia (Rubin/B200 class)</w:t>
              <w:br/>
              <w:t>Lane B: ASIC (Trainium class)</w:t>
              <w:br/>
              <w:t>Lane C: mixed at campus level (not mixed within a pod)</w:t>
            </w:r>
          </w:p>
        </w:tc>
        <w:tc>
          <w:tcPr>
            <w:tcW w:type="dxa" w:w="2160"/>
          </w:tcPr>
          <w:p>
            <w:r>
              <w:t>Avoid mixed-silicon within pods for serviceability and deterministic ops.</w:t>
            </w:r>
          </w:p>
        </w:tc>
      </w:tr>
      <w:tr>
        <w:tc>
          <w:tcPr>
            <w:tcW w:type="dxa" w:w="2160"/>
          </w:tcPr>
          <w:p>
            <w:r>
              <w:t>Rack density</w:t>
            </w:r>
          </w:p>
        </w:tc>
        <w:tc>
          <w:tcPr>
            <w:tcW w:type="dxa" w:w="2160"/>
          </w:tcPr>
          <w:p>
            <w:r>
              <w:t>Not disclosed publicly in racks; chip counts disclosed</w:t>
            </w:r>
          </w:p>
        </w:tc>
        <w:tc>
          <w:tcPr>
            <w:tcW w:type="dxa" w:w="2160"/>
          </w:tcPr>
          <w:p>
            <w:r>
              <w:t>Design basis: 120 kW/rack nominal</w:t>
              <w:br/>
              <w:t>150 kW/rack sustained max</w:t>
              <w:br/>
              <w:t>165 kW/rack short burst</w:t>
            </w:r>
          </w:p>
        </w:tc>
        <w:tc>
          <w:tcPr>
            <w:tcW w:type="dxa" w:w="2160"/>
          </w:tcPr>
          <w:p>
            <w:r>
              <w:t>Envelopes used for procurement, CDU sizing, and contract language.</w:t>
            </w:r>
          </w:p>
        </w:tc>
      </w:tr>
      <w:tr>
        <w:tc>
          <w:tcPr>
            <w:tcW w:type="dxa" w:w="2160"/>
          </w:tcPr>
          <w:p>
            <w:r>
              <w:t>Cooling doctrine</w:t>
            </w:r>
          </w:p>
        </w:tc>
        <w:tc>
          <w:tcPr>
            <w:tcW w:type="dxa" w:w="2160"/>
          </w:tcPr>
          <w:p>
            <w:r>
              <w:t>AWS efficiency focus; uses multiple methods including free cooling in some regions</w:t>
            </w:r>
          </w:p>
        </w:tc>
        <w:tc>
          <w:tcPr>
            <w:tcW w:type="dxa" w:w="2160"/>
          </w:tcPr>
          <w:p>
            <w:r>
              <w:t>Direct-to-chip liquid cooling</w:t>
              <w:br/>
              <w:t>No ammonia inside building</w:t>
              <w:br/>
              <w:t>External NH3 chillers with HX transfer</w:t>
              <w:br/>
              <w:t>Warm-water operation prioritized</w:t>
            </w:r>
          </w:p>
        </w:tc>
        <w:tc>
          <w:tcPr>
            <w:tcW w:type="dxa" w:w="2160"/>
          </w:tcPr>
          <w:p>
            <w:r>
              <w:t>Target stable thermal envelopes; eliminate roof penetrations and wet work in compute bay.</w:t>
            </w:r>
          </w:p>
        </w:tc>
      </w:tr>
      <w:tr>
        <w:tc>
          <w:tcPr>
            <w:tcW w:type="dxa" w:w="2160"/>
          </w:tcPr>
          <w:p>
            <w:r>
              <w:t>PUE targets</w:t>
            </w:r>
          </w:p>
        </w:tc>
        <w:tc>
          <w:tcPr>
            <w:tcW w:type="dxa" w:w="2160"/>
          </w:tcPr>
          <w:p>
            <w:r>
              <w:t>Not a single disclosed Rainier number</w:t>
            </w:r>
          </w:p>
        </w:tc>
        <w:tc>
          <w:tcPr>
            <w:tcW w:type="dxa" w:w="2160"/>
          </w:tcPr>
          <w:p>
            <w:r>
              <w:t>Heber/Holbrook target: &lt;=1.20 annual average</w:t>
              <w:br/>
              <w:t>Cold-season target: &lt;=1.15</w:t>
              <w:br/>
              <w:t>Night targets may be lower with free cooling</w:t>
            </w:r>
          </w:p>
        </w:tc>
        <w:tc>
          <w:tcPr>
            <w:tcW w:type="dxa" w:w="2160"/>
          </w:tcPr>
          <w:p>
            <w:r>
              <w:t>PUE is managed for reliability and simplicity, not marketing.</w:t>
            </w:r>
          </w:p>
        </w:tc>
      </w:tr>
      <w:tr>
        <w:tc>
          <w:tcPr>
            <w:tcW w:type="dxa" w:w="2160"/>
          </w:tcPr>
          <w:p>
            <w:r>
              <w:t>WUE targets</w:t>
            </w:r>
          </w:p>
        </w:tc>
        <w:tc>
          <w:tcPr>
            <w:tcW w:type="dxa" w:w="2160"/>
          </w:tcPr>
          <w:p>
            <w:r>
              <w:t>AWS publishes 0.15 L/kWh global WUE</w:t>
            </w:r>
          </w:p>
        </w:tc>
        <w:tc>
          <w:tcPr>
            <w:tcW w:type="dxa" w:w="2160"/>
          </w:tcPr>
          <w:p>
            <w:r>
              <w:t>Heber/Holbrook target: &lt;=0.10 L/kWh (closed-loop priority)</w:t>
              <w:br/>
              <w:t>NV/UT/WY/ID target: &lt;=0.15-0.25 depending on local constraints</w:t>
            </w:r>
          </w:p>
        </w:tc>
        <w:tc>
          <w:tcPr>
            <w:tcW w:type="dxa" w:w="2160"/>
          </w:tcPr>
          <w:p>
            <w:r>
              <w:t>Hermes designs for minimal water use; prioritize dry heat rejection where feasible.</w:t>
            </w:r>
          </w:p>
        </w:tc>
      </w:tr>
      <w:tr>
        <w:tc>
          <w:tcPr>
            <w:tcW w:type="dxa" w:w="2160"/>
          </w:tcPr>
          <w:p>
            <w:r>
              <w:t>Fault isolation</w:t>
            </w:r>
          </w:p>
        </w:tc>
        <w:tc>
          <w:tcPr>
            <w:tcW w:type="dxa" w:w="2160"/>
          </w:tcPr>
          <w:p>
            <w:r>
              <w:t>Undisclosed; hyperscaler class practices assumed</w:t>
            </w:r>
          </w:p>
        </w:tc>
        <w:tc>
          <w:tcPr>
            <w:tcW w:type="dxa" w:w="2160"/>
          </w:tcPr>
          <w:p>
            <w:r>
              <w:t>Hardware-first protection</w:t>
              <w:br/>
              <w:t>Pod -&gt; zone -&gt; building fault domains</w:t>
              <w:br/>
              <w:t>MECSAI observes, never clears faults</w:t>
            </w:r>
          </w:p>
        </w:tc>
        <w:tc>
          <w:tcPr>
            <w:tcW w:type="dxa" w:w="2160"/>
          </w:tcPr>
          <w:p>
            <w:r>
              <w:t>Mandatory for insurability and replication.</w:t>
            </w:r>
          </w:p>
        </w:tc>
      </w:tr>
      <w:tr>
        <w:tc>
          <w:tcPr>
            <w:tcW w:type="dxa" w:w="2160"/>
          </w:tcPr>
          <w:p>
            <w:r>
              <w:t>Federation model</w:t>
            </w:r>
          </w:p>
        </w:tc>
        <w:tc>
          <w:tcPr>
            <w:tcW w:type="dxa" w:w="2160"/>
          </w:tcPr>
          <w:p>
            <w:r>
              <w:t>Primarily intra-campus fabric</w:t>
            </w:r>
          </w:p>
        </w:tc>
        <w:tc>
          <w:tcPr>
            <w:tcW w:type="dxa" w:w="2160"/>
          </w:tcPr>
          <w:p>
            <w:r>
              <w:t>Intra-building: pod/zone scheduling</w:t>
              <w:br/>
              <w:t>Intra-campus: synchronous training allowed</w:t>
              <w:br/>
              <w:t>Inter-campus: async-first + task-parallel; limited synchronous use by design</w:t>
            </w:r>
          </w:p>
        </w:tc>
        <w:tc>
          <w:tcPr>
            <w:tcW w:type="dxa" w:w="2160"/>
          </w:tcPr>
          <w:p>
            <w:r>
              <w:t>Cross-state latency and bandwidth make full synchronous training impractical at scale.</w:t>
            </w:r>
          </w:p>
        </w:tc>
      </w:tr>
    </w:tbl>
    <w:p>
      <w:pPr>
        <w:pStyle w:val="Heading1"/>
      </w:pPr>
      <w:r>
        <w:t>5. Federation Network Targets (Planning Guidance)</w:t>
      </w:r>
    </w:p>
    <w:p>
      <w:r>
        <w:t>Hermes federation is designed around two compute coupling modes:</w:t>
        <w:br/>
        <w:t>1) Synchronous coupling: tightly coupled training within a campus (or within a metro) using high-bandwidth, low-latency fabrics.</w:t>
        <w:br/>
        <w:t>2) Asynchronous coupling: job-level parallelism across campuses (hyperparameter sweeps, ensemble training, simulation batches, CAD/FEA farms, verification runs) with dataset replication and checkpoint shipping.</w:t>
        <w:br/>
      </w:r>
    </w:p>
    <w:p>
      <w:r>
        <w:t>Planning targets:</w:t>
        <w:br/>
        <w:t>- Intra-campus: multi-100G to multi-Tb class fabrics depending on accelerator lane and rack design.</w:t>
        <w:br/>
        <w:t>- Inter-campus: multiple 400G waves per link as baseline, scalable to multi-Tb using parallel waves; design assumes async-first to avoid hard latency coupling.</w:t>
        <w:br/>
        <w:t>- Data gravity rule: keep training data local; move models and checkpoints, not raw datasets, unless explicitly required.</w:t>
      </w:r>
    </w:p>
    <w:p>
      <w:pPr>
        <w:pStyle w:val="Heading1"/>
      </w:pPr>
      <w:r>
        <w:t>6. Customer Contracting Implications</w:t>
      </w:r>
    </w:p>
    <w:p>
      <w:r>
        <w:t>Hermes differentiates by selling deterministic envelopes and neutrality:</w:t>
        <w:br/>
        <w:t>- Guaranteed rack power bands (nominal and sustained max)</w:t>
        <w:br/>
        <w:t>- Guaranteed coolant supply bands and stability</w:t>
        <w:br/>
        <w:t>- Explicit workload classes (Tier 0/1/2) with night shaping rights where applicable</w:t>
        <w:br/>
        <w:t>- Accelerator lane choice (Nvidia-first or ASIC-first)</w:t>
        <w:br/>
        <w:t>- Sovereign partition capability across multi-state sites</w:t>
      </w:r>
    </w:p>
    <w:p>
      <w:pPr>
        <w:pStyle w:val="Heading1"/>
      </w:pPr>
      <w:r>
        <w:t>7. Next Actions</w:t>
      </w:r>
    </w:p>
    <w:p>
      <w:r>
        <w:t>- Publish site-specific PUE/WUE targets per campus (Heber, Holbrook, NV, ID, UT, WY) tied to cooling and water doctrine.</w:t>
        <w:br/>
        <w:t>- Define accelerator lane procurement spec: rack standards, network standards, CDU standards per lane.</w:t>
        <w:br/>
        <w:t>- Produce federation ICD: inter-site network requirements, workload placement rules, and partitioning controls.</w:t>
        <w:br/>
        <w:t>- Convert this benchmark sheet into customer-facing materials when disclosure is authorized.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