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HDS Rack Slot Interface Control Document (ICD)</w:t>
        <w:br/>
        <w:t>Slot S/H/X - Power, Liquid, Fiber, Telemetry Interfaces</w:t>
      </w:r>
    </w:p>
    <w:p>
      <w:pPr>
        <w:jc w:val="center"/>
      </w:pPr>
      <w:r>
        <w:rPr>
          <w:b/>
        </w:rPr>
        <w:t>Document ID: HDS-DC-SLOT-ICD-001</w:t>
        <w:br/>
        <w:t>Revision: Rev A</w:t>
        <w:br/>
        <w:t>Status: Draft - Internal</w:t>
        <w:br/>
        <w:t>Owner: Atlas Systems Group - Hermes Data Systems</w:t>
        <w:br/>
        <w:t>Date: 2026-01-12</w:t>
      </w:r>
    </w:p>
    <w:p/>
    <w:p>
      <w:pPr>
        <w:pStyle w:val="Heading1"/>
      </w:pPr>
      <w:r>
        <w:t>1. Purpose</w:t>
      </w:r>
    </w:p>
    <w:p>
      <w:r>
        <w:t>Define a vendor-agnostic rack slot interface standard for Hermes data centers. This ICD ensures any rack or accelerator ecosystem can be deployed and refreshed without reengineering building infrastructure.</w:t>
      </w:r>
    </w:p>
    <w:p>
      <w:pPr>
        <w:pStyle w:val="Heading1"/>
      </w:pPr>
      <w:r>
        <w:t>2. Scope</w:t>
      </w:r>
    </w:p>
    <w:p>
      <w:r>
        <w:t>Applies to all rack deployments in Hermes buildings (terrestrial and future orbital translations). Defines the physical and logical interfaces at the Pod Group Interface Panel and rack manifold entry.</w:t>
      </w:r>
    </w:p>
    <w:p>
      <w:pPr>
        <w:pStyle w:val="Heading1"/>
      </w:pPr>
      <w:r>
        <w:t>3. Definitions</w:t>
      </w:r>
    </w:p>
    <w:p>
      <w:r>
        <w:t>- Rack Slot: A standardized envelope for rack power, cooling, physical footprint, and interface connectors.</w:t>
        <w:br/>
        <w:t>- Slot S: Standard rack class (80-120 kW sustained).</w:t>
        <w:br/>
        <w:t>- Slot H: High density rack class (120-180 kW sustained).</w:t>
        <w:br/>
        <w:t>- Slot X: Experimental rack class (180-250 kW sustained; limited pods only).</w:t>
        <w:br/>
        <w:t>- Pod Group: 32-rack pod allocation unit.</w:t>
        <w:br/>
        <w:t>- Interface Panel: The standardized wall/partition interface between utility bay distribution and compute bay pod group drops.</w:t>
      </w:r>
    </w:p>
    <w:p>
      <w:pPr>
        <w:pStyle w:val="Heading1"/>
      </w:pPr>
      <w:r>
        <w:t>4. Slot Envelope Summary</w:t>
      </w:r>
    </w:p>
    <w:p>
      <w:r>
        <w:t>Slot S:</w:t>
        <w:br/>
        <w:t>- Sustained rack power: 80-120 kW</w:t>
        <w:br/>
        <w:t>- Burst (&lt;=5 min): up to 140 kW</w:t>
        <w:br/>
        <w:br/>
        <w:t>Slot H:</w:t>
        <w:br/>
        <w:t>- Sustained rack power: 120-180 kW</w:t>
        <w:br/>
        <w:t>- Burst (&lt;=5 min): up to 210 kW</w:t>
        <w:br/>
        <w:br/>
        <w:t>Slot X:</w:t>
        <w:br/>
        <w:t>- Sustained rack power: 180-250 kW</w:t>
        <w:br/>
        <w:t>- Burst (&lt;=5 min): up to 300 kW</w:t>
        <w:br/>
        <w:t>- Deployment limited to designated Slot X pods only</w:t>
      </w:r>
    </w:p>
    <w:p>
      <w:pPr>
        <w:pStyle w:val="Heading1"/>
      </w:pPr>
      <w:r>
        <w:t>5. Power Interface Standard</w:t>
      </w:r>
    </w:p>
    <w:p>
      <w:r>
        <w:t>5.1 Building Distribution Assumptions</w:t>
      </w:r>
    </w:p>
    <w:p>
      <w:r>
        <w:t>- Building distribution: overhead DC busway trunks with pod group tap boxes in utility bay.</w:t>
        <w:br/>
        <w:t>- Rack feeds: distributed from pod group tap boxes to racks via overhead drops.</w:t>
        <w:br/>
        <w:t>- Protection: hardware-cleared fault domains; no software-dependent clearing.</w:t>
      </w:r>
    </w:p>
    <w:p>
      <w:r>
        <w:t>5.2 Electrical Interface at Pod Group Panel</w:t>
      </w:r>
    </w:p>
    <w:p>
      <w:r>
        <w:t>- Feed type: DC (nominal 800 VDC architecture at building/campus level).</w:t>
        <w:br/>
        <w:t>- Rack-level conversion: allowed inside rack (vendor-defined) provided it does not violate envelope.</w:t>
        <w:br/>
        <w:t>- Tap box outputs: standardized DC feeders per pod group.</w:t>
        <w:br/>
        <w:t>- Connector standard: vendor-neutral, field-serviceable, lockable disconnect at interface panel.</w:t>
        <w:br/>
        <w:t>- Cable routing: overhead drops; no underfloor power distribution in compute bay.</w:t>
      </w:r>
    </w:p>
    <w:p>
      <w:r>
        <w:t>5.3 Electrical Ratings (Design Targets)</w:t>
      </w:r>
    </w:p>
    <w:p>
      <w:r>
        <w:t>- Voltage window at pod group panel: 700-900 VDC (planning band; final by electrical engineer and procurement).</w:t>
        <w:br/>
        <w:t>- Rack feeds: multiple parallel feeders permitted.</w:t>
        <w:br/>
        <w:t>- Grounding/bonding: dedicated equipment grounding conductor and bonding bus per pod group.</w:t>
      </w:r>
    </w:p>
    <w:p>
      <w:r>
        <w:t>5.4 Required Power Telemetry Points</w:t>
      </w:r>
    </w:p>
    <w:p>
      <w:r>
        <w:t>- Rack input kW (sampled or per-rack depending on building instrumentation tier).</w:t>
        <w:br/>
        <w:t>- Pod group aggregate kW (mandatory).</w:t>
        <w:br/>
        <w:t>- Voltage and current at pod group panel (mandatory).</w:t>
        <w:br/>
        <w:t>- Event-based transient capture at pod group panel (Building 1 mandatory; others optional by policy).</w:t>
      </w:r>
    </w:p>
    <w:p>
      <w:pPr>
        <w:pStyle w:val="Heading1"/>
      </w:pPr>
      <w:r>
        <w:t>6. Liquid Cooling Interface Standard</w:t>
      </w:r>
    </w:p>
    <w:p>
      <w:r>
        <w:t>6.1 Thermal Envelope (Mandatory)</w:t>
      </w:r>
    </w:p>
    <w:p>
      <w:r>
        <w:t>- Coolant supply nominal: 30 C</w:t>
        <w:br/>
        <w:t>- Preferred band: 28-32 C</w:t>
        <w:br/>
        <w:t>- Max sustained: 35 C</w:t>
        <w:br/>
        <w:t>- Absolute transient ceiling: 38 C</w:t>
        <w:br/>
        <w:t>- Sub-ambient coolant is prohibited (no chilled dependency).</w:t>
        <w:br/>
        <w:t>- Ammonia refrigerant is prohibited inside building; heat transfer via HX only.</w:t>
      </w:r>
    </w:p>
    <w:p>
      <w:r>
        <w:t>6.2 Fluid Type</w:t>
      </w:r>
    </w:p>
    <w:p>
      <w:r>
        <w:t>- Primary: water or water/glycol as required for freeze protection.</w:t>
        <w:br/>
        <w:t>- Dielectric fluids: prohibited unless explicitly approved for a dedicated lane and supported by containment plan.</w:t>
      </w:r>
    </w:p>
    <w:p>
      <w:r>
        <w:t>6.3 Mechanical Interface at Pod Group Panel</w:t>
      </w:r>
    </w:p>
    <w:p>
      <w:r>
        <w:t>- Two connections minimum per pod group: supply and return.</w:t>
        <w:br/>
        <w:t>- Connector type: quick-disconnect, dry-break, keyed to prevent mis-mate.</w:t>
        <w:br/>
        <w:t>- Materials: stainless steel or approved corrosion-resistant alloy.</w:t>
        <w:br/>
        <w:t>- Isolation: manual isolation valves at CDU group and at interface panel (mandatory).</w:t>
        <w:br/>
        <w:t>- Leak detection: sensor at interface panel and under CDU underpan (mandatory).</w:t>
      </w:r>
    </w:p>
    <w:p>
      <w:r>
        <w:t>6.4 Hydraulic Requirements (Declaration by Vendor)</w:t>
      </w:r>
    </w:p>
    <w:p>
      <w:r>
        <w:t>Each rack vendor must declare:</w:t>
        <w:br/>
        <w:t>- Required flow rate at 80, 120, 150, 180, 250 kW (as applicable)</w:t>
        <w:br/>
        <w:t>- Delta-P across rack manifold at nominal flow</w:t>
        <w:br/>
        <w:t>- Acceptable supply temperature band</w:t>
        <w:br/>
        <w:t>- Coolant chemistry constraints (inhibitors, glycol percentage, conductivity limits)</w:t>
        <w:br/>
        <w:t>Racks exceeding Hermes delta-P planning envelope require explicit approval.</w:t>
      </w:r>
    </w:p>
    <w:p>
      <w:pPr>
        <w:pStyle w:val="Heading1"/>
      </w:pPr>
      <w:r>
        <w:t>7. Fiber and Network Interface Standard</w:t>
      </w:r>
    </w:p>
    <w:p>
      <w:r>
        <w:t>7.1 Physical Interface</w:t>
      </w:r>
    </w:p>
    <w:p>
      <w:r>
        <w:t>- Fiber trunks originate in utility bay and enter pod groups through the interface panel.</w:t>
        <w:br/>
        <w:t>- Connector standard: LC/UPC or MPO/MTP as required by lane, terminated in patch panels.</w:t>
        <w:br/>
        <w:t>- Cable management: overhead trays; service loops maintained in utility bay.</w:t>
      </w:r>
    </w:p>
    <w:p>
      <w:r>
        <w:t>7.2 Lane Strategy Note</w:t>
      </w:r>
    </w:p>
    <w:p>
      <w:r>
        <w:t>Accelerator ecosystems may require different fabrics. Hermes supports lane segregation at the pod level. Mixed lanes within a pod are prohibited.</w:t>
      </w:r>
    </w:p>
    <w:p>
      <w:pPr>
        <w:pStyle w:val="Heading1"/>
      </w:pPr>
      <w:r>
        <w:t>8. Telemetry and Tagging Standard</w:t>
      </w:r>
    </w:p>
    <w:p>
      <w:r>
        <w:t>8.1 Required Telemetry (Minimum Set)</w:t>
      </w:r>
    </w:p>
    <w:p>
      <w:r>
        <w:t>- Pod group power: kW, volts, amps, event flags</w:t>
        <w:br/>
        <w:t>- CDU group: supply/return temps, flow, pump speed, pump power, filter delta-P</w:t>
        <w:br/>
        <w:t>- Pod group cooling: supply/return temps, flow, delta-P</w:t>
        <w:br/>
        <w:t>- Leak sensors: status, time of first detection</w:t>
        <w:br/>
        <w:t>- Valve positions: isolation valves (open/closed)</w:t>
        <w:br/>
        <w:t>- Environmental: utility bay temp/humidity, compute bay ambient temp</w:t>
      </w:r>
    </w:p>
    <w:p>
      <w:r>
        <w:t>8.2 Topic and Tag Naming (Baseline)</w:t>
      </w:r>
    </w:p>
    <w:p>
      <w:r>
        <w:t>Tag format:</w:t>
        <w:br/>
        <w:t>HDS.&lt;SITE&gt;.&lt;BLDG&gt;.&lt;ZONE&gt;.&lt;PODGROUP&gt;.&lt;SUBSYSTEM&gt;.&lt;POINT&gt;</w:t>
        <w:br/>
        <w:br/>
        <w:t>Examples:</w:t>
        <w:br/>
        <w:t>HDS.HEBER.B01.ZA.PG01.PWR.KW</w:t>
        <w:br/>
        <w:t>HDS.HEBER.B01.ZB.PG03.CDU1.SUPPLY_TEMP</w:t>
        <w:br/>
        <w:t>HDS.HEBER.B01.ZC.PG05.LEAK.IFPANEL</w:t>
      </w:r>
    </w:p>
    <w:p>
      <w:pPr>
        <w:pStyle w:val="Heading1"/>
      </w:pPr>
      <w:r>
        <w:t>9. Acceptance Tests at Rack Slot Level</w:t>
      </w:r>
    </w:p>
    <w:p>
      <w:r>
        <w:t>- Verify physical fit and clearances</w:t>
        <w:br/>
        <w:t>- Verify power interface compatibility and grounding</w:t>
        <w:br/>
        <w:t>- Verify cooling interface compatibility and leak-free connection</w:t>
        <w:br/>
        <w:t>- Verify declared flow and delta-P within limits</w:t>
        <w:br/>
        <w:t>- Verify telemetry points and time synchronization</w:t>
        <w:br/>
        <w:t>- Perform power ramp and thermal ramp tests within envelope</w:t>
        <w:br/>
        <w:t>- Confirm no requirement for sub-ambient cooling</w:t>
      </w:r>
    </w:p>
    <w:p>
      <w:pPr>
        <w:pStyle w:val="Heading1"/>
      </w:pPr>
      <w:r>
        <w:t>10. Prohibitions</w:t>
      </w:r>
    </w:p>
    <w:p>
      <w:r>
        <w:t>- Racks requiring chilled coolant (&lt;20 C) are prohibited.</w:t>
        <w:br/>
        <w:t>- Ammonia inside building is prohibited.</w:t>
        <w:br/>
        <w:t>- Mixed accelerator lanes within a pod are prohibited.</w:t>
        <w:br/>
        <w:t>- Interface changes without approval are prohibited.</w:t>
      </w:r>
    </w:p>
    <w:p>
      <w:pPr>
        <w:pStyle w:val="Heading1"/>
      </w:pPr>
      <w:r>
        <w:t>11. Revision Control</w:t>
      </w:r>
    </w:p>
    <w:p>
      <w:r>
        <w:t>Rev A establishes baseline ICD. Connector part numbers and final voltage windows are finalized at procurement time and must remain backward compatible across refresh generations.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