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1F5D" w14:textId="77777777" w:rsidR="00473DD7" w:rsidRPr="00473DD7" w:rsidRDefault="00473DD7" w:rsidP="0047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Heber Campus CO2 Capture Integration Report</w:t>
      </w:r>
    </w:p>
    <w:p w14:paraId="605D213A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D0A43B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Document ID: HC-CO2-INT-001</w:t>
      </w:r>
    </w:p>
    <w:p w14:paraId="3239566F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Status: Engineering Integration Draft</w:t>
      </w:r>
    </w:p>
    <w:p w14:paraId="5CB5A27C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Date: 2026-01-07</w:t>
      </w:r>
    </w:p>
    <w:p w14:paraId="3F2757CC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Applies To: Heber Campus – Fuels, Hydrogen, Biomass, Power Systems</w:t>
      </w:r>
    </w:p>
    <w:p w14:paraId="63600466" w14:textId="77777777" w:rsidR="00473DD7" w:rsidRPr="00473DD7" w:rsidRDefault="00473DD7" w:rsidP="00473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DD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024256" wp14:editId="01B7CB64">
                <wp:extent cx="5943600" cy="1270"/>
                <wp:effectExtent l="0" t="31750" r="0" b="36830"/>
                <wp:docPr id="179202738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7470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95AE58" w14:textId="77777777" w:rsidR="00473DD7" w:rsidRPr="00473DD7" w:rsidRDefault="00473DD7" w:rsidP="00473DD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3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0A4E5863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A18F86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This report formalizes the carbon capture strategy required to support the Heber Campus locked production baseline of 18,000 barrels per day of finished fuels under HC-MGD-001. It defines the carbon shortfall, evaluates credible industrial-scale CO2 capture solutions, and establishes integration doctrine for engineering and procurement.</w:t>
      </w:r>
    </w:p>
    <w:p w14:paraId="230C0569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385F0B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This document is intended to be stored on the NAS and treated as an engineering reference for Phase 1 through Phase 3 execution.</w:t>
      </w:r>
    </w:p>
    <w:p w14:paraId="50A2F0ED" w14:textId="77777777" w:rsidR="00473DD7" w:rsidRPr="00473DD7" w:rsidRDefault="00473DD7" w:rsidP="00473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DD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026F42" wp14:editId="0F72E5BD">
                <wp:extent cx="5943600" cy="1270"/>
                <wp:effectExtent l="0" t="31750" r="0" b="36830"/>
                <wp:docPr id="27128376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10FF8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019C53" w14:textId="77777777" w:rsidR="00473DD7" w:rsidRPr="00473DD7" w:rsidRDefault="00473DD7" w:rsidP="00473DD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3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Locked Production Basis (Reference)</w:t>
      </w:r>
    </w:p>
    <w:p w14:paraId="56D6E907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B69952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Per HC-MGD-001 Rev A:</w:t>
      </w:r>
    </w:p>
    <w:p w14:paraId="3124A838" w14:textId="77777777" w:rsidR="00473DD7" w:rsidRPr="00473DD7" w:rsidRDefault="00473DD7" w:rsidP="0047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Finished fuels output: 18,000 bpd (12k ULSD / 4k Jet-A / 2k LPG)</w:t>
      </w:r>
    </w:p>
    <w:p w14:paraId="6656467B" w14:textId="77777777" w:rsidR="00473DD7" w:rsidRPr="00473DD7" w:rsidRDefault="00473DD7" w:rsidP="0047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Hydrogen demand basis: 457 t/day</w:t>
      </w:r>
    </w:p>
    <w:p w14:paraId="16DACA3B" w14:textId="77777777" w:rsidR="00473DD7" w:rsidRPr="00473DD7" w:rsidRDefault="00473DD7" w:rsidP="0047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Biomass inbound (planning): 5,500 to 6,500 tons/day as received</w:t>
      </w:r>
    </w:p>
    <w:p w14:paraId="628D0256" w14:textId="77777777" w:rsidR="00473DD7" w:rsidRPr="00473DD7" w:rsidRDefault="00473DD7" w:rsidP="0047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Carbon supply doctrine: internal carbon must support 110 percent of demand</w:t>
      </w:r>
    </w:p>
    <w:p w14:paraId="569F9354" w14:textId="77777777" w:rsidR="00473DD7" w:rsidRPr="00473DD7" w:rsidRDefault="00473DD7" w:rsidP="0047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 xml:space="preserve">External CO2 is makeup only, never </w:t>
      </w:r>
      <w:proofErr w:type="spellStart"/>
      <w:r w:rsidRPr="00473DD7">
        <w:rPr>
          <w:rFonts w:ascii="Times New Roman" w:hAnsi="Times New Roman" w:cs="Times New Roman"/>
          <w:kern w:val="0"/>
          <w14:ligatures w14:val="none"/>
        </w:rPr>
        <w:t>baseload</w:t>
      </w:r>
      <w:proofErr w:type="spellEnd"/>
      <w:r w:rsidRPr="00473DD7">
        <w:rPr>
          <w:rFonts w:ascii="Times New Roman" w:hAnsi="Times New Roman" w:cs="Times New Roman"/>
          <w:kern w:val="0"/>
          <w14:ligatures w14:val="none"/>
        </w:rPr>
        <w:t xml:space="preserve"> dependency</w:t>
      </w:r>
    </w:p>
    <w:p w14:paraId="42E3E18C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507E25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These values are treated as fixed inputs for this analysis.</w:t>
      </w:r>
    </w:p>
    <w:p w14:paraId="1A041375" w14:textId="77777777" w:rsidR="00473DD7" w:rsidRPr="00473DD7" w:rsidRDefault="00473DD7" w:rsidP="00473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DD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E434F5" wp14:editId="5ED08126">
                <wp:extent cx="5943600" cy="1270"/>
                <wp:effectExtent l="0" t="31750" r="0" b="36830"/>
                <wp:docPr id="34944218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4B61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6B23F5" w14:textId="77777777" w:rsidR="00473DD7" w:rsidRPr="00473DD7" w:rsidRDefault="00473DD7" w:rsidP="00473DD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3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Carbon Demand Reality</w:t>
      </w:r>
    </w:p>
    <w:p w14:paraId="0E4F272D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9EB388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At full nameplate production, total carbon demand for synthetic hydrocarbons is estimated at approximately 7,000 to 8,000 metric tons of CO2-equivalent per day.</w:t>
      </w:r>
    </w:p>
    <w:p w14:paraId="1C5A1524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E9CA6A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Even at the high end of biomass intake, the biomass gasification island will not reliably meet this demand under all operating conditions due to:</w:t>
      </w:r>
    </w:p>
    <w:p w14:paraId="1207112A" w14:textId="77777777" w:rsidR="00473DD7" w:rsidRPr="00473DD7" w:rsidRDefault="00473DD7" w:rsidP="00473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Feedstock variability</w:t>
      </w:r>
    </w:p>
    <w:p w14:paraId="342A24C4" w14:textId="77777777" w:rsidR="00473DD7" w:rsidRPr="00473DD7" w:rsidRDefault="00473DD7" w:rsidP="00473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Maintenance outages</w:t>
      </w:r>
    </w:p>
    <w:p w14:paraId="4FD148FF" w14:textId="77777777" w:rsidR="00473DD7" w:rsidRPr="00473DD7" w:rsidRDefault="00473DD7" w:rsidP="00473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Ramp and turndown constraints</w:t>
      </w:r>
    </w:p>
    <w:p w14:paraId="2AEA37A7" w14:textId="77777777" w:rsidR="00473DD7" w:rsidRPr="00473DD7" w:rsidRDefault="00473DD7" w:rsidP="00473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Phase 2 and Phase 3 scale expansion</w:t>
      </w:r>
    </w:p>
    <w:p w14:paraId="7665D369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6C69DE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Result: A structural carbon shortfall exists that must be addressed through supplemental CO2 capture.</w:t>
      </w:r>
    </w:p>
    <w:p w14:paraId="492633C1" w14:textId="77777777" w:rsidR="00473DD7" w:rsidRPr="00473DD7" w:rsidRDefault="00473DD7" w:rsidP="00473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DD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F776E0" wp14:editId="53987B0A">
                <wp:extent cx="5943600" cy="1270"/>
                <wp:effectExtent l="0" t="31750" r="0" b="36830"/>
                <wp:docPr id="9359026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D8A7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9C3F3D" w14:textId="77777777" w:rsidR="00473DD7" w:rsidRPr="00473DD7" w:rsidRDefault="00473DD7" w:rsidP="00473DD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3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Required Supplemental CO2 Capacity</w:t>
      </w:r>
    </w:p>
    <w:p w14:paraId="5A32F5FA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136A75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Engineering planning basis for supplemental carbon:</w:t>
      </w:r>
    </w:p>
    <w:p w14:paraId="33E80743" w14:textId="77777777" w:rsidR="00473DD7" w:rsidRPr="00473DD7" w:rsidRDefault="00473DD7" w:rsidP="00473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Target makeup CO2 capacity: 1,500 to 3,000 t/day</w:t>
      </w:r>
    </w:p>
    <w:p w14:paraId="676B5973" w14:textId="77777777" w:rsidR="00473DD7" w:rsidRPr="00473DD7" w:rsidRDefault="00473DD7" w:rsidP="00473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Coverage goal: maintain 110 percent carbon availability at all times</w:t>
      </w:r>
    </w:p>
    <w:p w14:paraId="1C536EE4" w14:textId="77777777" w:rsidR="00473DD7" w:rsidRPr="00473DD7" w:rsidRDefault="00473DD7" w:rsidP="00473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Storage buffer: 3 to 5 days of average consumption</w:t>
      </w:r>
    </w:p>
    <w:p w14:paraId="47D1D9B3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997CB2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Supplemental CO2 systems must operate as process utilities, not revenue-generating assets.</w:t>
      </w:r>
    </w:p>
    <w:p w14:paraId="13519C3F" w14:textId="77777777" w:rsidR="00473DD7" w:rsidRPr="00473DD7" w:rsidRDefault="00473DD7" w:rsidP="00473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DD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B51EA7" wp14:editId="0E65B55A">
                <wp:extent cx="5943600" cy="1270"/>
                <wp:effectExtent l="0" t="31750" r="0" b="36830"/>
                <wp:docPr id="37967032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438CF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E3DFB9" w14:textId="77777777" w:rsidR="00473DD7" w:rsidRPr="00473DD7" w:rsidRDefault="00473DD7" w:rsidP="00473DD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3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Evaluation of CO2 Capture Pathways</w:t>
      </w:r>
    </w:p>
    <w:p w14:paraId="0D0A96F3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4D9A7A" w14:textId="77777777" w:rsidR="00473DD7" w:rsidRPr="00473DD7" w:rsidRDefault="00473DD7" w:rsidP="0047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3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Biomass Flue Gas Capture (Multiplier)</w:t>
      </w:r>
    </w:p>
    <w:p w14:paraId="3E2C2EFC" w14:textId="77777777" w:rsidR="00473DD7" w:rsidRPr="00473DD7" w:rsidRDefault="00473DD7" w:rsidP="00473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Increases effective carbon recovery from biomass plant</w:t>
      </w:r>
    </w:p>
    <w:p w14:paraId="40134C45" w14:textId="77777777" w:rsidR="00473DD7" w:rsidRPr="00473DD7" w:rsidRDefault="00473DD7" w:rsidP="00473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Reduces variability risk</w:t>
      </w:r>
    </w:p>
    <w:p w14:paraId="3F61BAEC" w14:textId="77777777" w:rsidR="00473DD7" w:rsidRPr="00473DD7" w:rsidRDefault="00473DD7" w:rsidP="00473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Cannot independently close the carbon gap</w:t>
      </w:r>
    </w:p>
    <w:p w14:paraId="234CD0FE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FA7145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Recommended as a supporting layer, not a primary solution.</w:t>
      </w:r>
    </w:p>
    <w:p w14:paraId="26D84B78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D4078B" w14:textId="77777777" w:rsidR="00473DD7" w:rsidRPr="00473DD7" w:rsidRDefault="00473DD7" w:rsidP="0047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3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Direct Air Capture (DAC)</w:t>
      </w:r>
    </w:p>
    <w:p w14:paraId="2B324E3E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F065D5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DAC is the only scalable pathway capable of closing the carbon shortfall without introducing fossil dependency.</w:t>
      </w:r>
    </w:p>
    <w:p w14:paraId="787F76E4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00F2DA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Key requirements:</w:t>
      </w:r>
    </w:p>
    <w:p w14:paraId="38716FEF" w14:textId="77777777" w:rsidR="00473DD7" w:rsidRPr="00473DD7" w:rsidRDefault="00473DD7" w:rsidP="00473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Industrial-scale deployment</w:t>
      </w:r>
    </w:p>
    <w:p w14:paraId="72DFFC63" w14:textId="77777777" w:rsidR="00473DD7" w:rsidRPr="00473DD7" w:rsidRDefault="00473DD7" w:rsidP="00473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 xml:space="preserve">Continuous </w:t>
      </w:r>
      <w:proofErr w:type="spellStart"/>
      <w:r w:rsidRPr="00473DD7">
        <w:rPr>
          <w:rFonts w:ascii="Times New Roman" w:hAnsi="Times New Roman" w:cs="Times New Roman"/>
          <w:kern w:val="0"/>
          <w14:ligatures w14:val="none"/>
        </w:rPr>
        <w:t>baseload</w:t>
      </w:r>
      <w:proofErr w:type="spellEnd"/>
      <w:r w:rsidRPr="00473DD7">
        <w:rPr>
          <w:rFonts w:ascii="Times New Roman" w:hAnsi="Times New Roman" w:cs="Times New Roman"/>
          <w:kern w:val="0"/>
          <w14:ligatures w14:val="none"/>
        </w:rPr>
        <w:t xml:space="preserve"> operation</w:t>
      </w:r>
    </w:p>
    <w:p w14:paraId="15E256A2" w14:textId="77777777" w:rsidR="00473DD7" w:rsidRPr="00473DD7" w:rsidRDefault="00473DD7" w:rsidP="00473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RWGS-compatible CO2 purity</w:t>
      </w:r>
    </w:p>
    <w:p w14:paraId="27223149" w14:textId="77777777" w:rsidR="00473DD7" w:rsidRPr="00473DD7" w:rsidRDefault="00473DD7" w:rsidP="00473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Proven solvent or sorbent chemistry</w:t>
      </w:r>
    </w:p>
    <w:p w14:paraId="65C98C58" w14:textId="77777777" w:rsidR="00473DD7" w:rsidRPr="00473DD7" w:rsidRDefault="00473DD7" w:rsidP="00473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DD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EAF883" wp14:editId="474CA9FB">
                <wp:extent cx="5943600" cy="1270"/>
                <wp:effectExtent l="0" t="33020" r="0" b="38100"/>
                <wp:docPr id="50736246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EF90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19E91C" w14:textId="77777777" w:rsidR="00473DD7" w:rsidRPr="00473DD7" w:rsidRDefault="00473DD7" w:rsidP="00473DD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3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Credible Industrial DAC Vendors</w:t>
      </w:r>
    </w:p>
    <w:p w14:paraId="7D10822D" w14:textId="77777777" w:rsidR="00473DD7" w:rsidRPr="00473DD7" w:rsidRDefault="00473DD7" w:rsidP="00473DD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5F0297" w14:textId="77777777" w:rsidR="00473DD7" w:rsidRPr="00473DD7" w:rsidRDefault="00473DD7" w:rsidP="00473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3D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Carbon Engineering (Benchmark Class)</w:t>
      </w:r>
    </w:p>
    <w:p w14:paraId="40F34747" w14:textId="77777777" w:rsidR="00473DD7" w:rsidRPr="00473DD7" w:rsidRDefault="00473DD7" w:rsidP="00473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73DD7">
        <w:rPr>
          <w:rFonts w:ascii="Times New Roman" w:hAnsi="Times New Roman" w:cs="Times New Roman"/>
          <w:kern w:val="0"/>
          <w14:ligatures w14:val="none"/>
        </w:rPr>
        <w:t>Liquid solvent</w:t>
      </w:r>
    </w:p>
    <w:p w14:paraId="14C8B44A" w14:textId="77777777" w:rsidR="00473DD7" w:rsidRDefault="00473DD7"/>
    <w:sectPr w:rsidR="00473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B3E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2466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722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035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038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807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140199">
    <w:abstractNumId w:val="1"/>
  </w:num>
  <w:num w:numId="2" w16cid:durableId="1522666161">
    <w:abstractNumId w:val="2"/>
  </w:num>
  <w:num w:numId="3" w16cid:durableId="884176141">
    <w:abstractNumId w:val="3"/>
  </w:num>
  <w:num w:numId="4" w16cid:durableId="131287577">
    <w:abstractNumId w:val="0"/>
  </w:num>
  <w:num w:numId="5" w16cid:durableId="303198268">
    <w:abstractNumId w:val="4"/>
  </w:num>
  <w:num w:numId="6" w16cid:durableId="977535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D7"/>
    <w:rsid w:val="00473DD7"/>
    <w:rsid w:val="00D4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7AB044"/>
  <w15:chartTrackingRefBased/>
  <w15:docId w15:val="{E76CE94F-98DB-5A47-B7F5-36D29A50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3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DD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73DD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73DD7"/>
  </w:style>
  <w:style w:type="paragraph" w:customStyle="1" w:styleId="p2">
    <w:name w:val="p2"/>
    <w:basedOn w:val="Normal"/>
    <w:rsid w:val="00473DD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73DD7"/>
  </w:style>
  <w:style w:type="paragraph" w:customStyle="1" w:styleId="p3">
    <w:name w:val="p3"/>
    <w:basedOn w:val="Normal"/>
    <w:rsid w:val="00473DD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2026-01-08T06:13:00Z</dcterms:created>
  <dcterms:modified xsi:type="dcterms:W3CDTF">2026-01-08T06:13:00Z</dcterms:modified>
</cp:coreProperties>
</file>