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D9AF" w14:textId="0619B818" w:rsidR="006D3FA3" w:rsidRPr="006D3FA3" w:rsidRDefault="00BD7DDA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11E8159" wp14:editId="48218735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330700" cy="4330700"/>
            <wp:effectExtent l="0" t="0" r="0" b="0"/>
            <wp:wrapTopAndBottom/>
            <wp:docPr id="79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61" name="Picture 79160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3FA3"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====================================================================</w:t>
      </w:r>
    </w:p>
    <w:p w14:paraId="07CC184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CCC98A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 - MASTER GUIDELINE DOCUMENT (MGD)</w:t>
      </w:r>
    </w:p>
    <w:p w14:paraId="3A5C9A3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D95C73E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ID: HC-MGD-001</w:t>
      </w:r>
    </w:p>
    <w:p w14:paraId="4609480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1CF85A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Revision: A</w:t>
      </w:r>
    </w:p>
    <w:p w14:paraId="0B707D4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58395F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Date: 2025-12-27</w:t>
      </w:r>
    </w:p>
    <w:p w14:paraId="541CF7E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65F2438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Owner: ARCHITECT (Program), </w:t>
      </w:r>
      <w:proofErr w:type="spellStart"/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MECHWORK</w:t>
      </w:r>
      <w:proofErr w:type="spellEnd"/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(Engineering Integration)</w:t>
      </w:r>
    </w:p>
    <w:p w14:paraId="3AFD673D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6E6268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Applies To: Heber Campus terrestrial operations and all subsystems</w:t>
      </w:r>
    </w:p>
    <w:p w14:paraId="73C2020D" w14:textId="77777777" w:rsidR="006D3FA3" w:rsidRPr="006D3FA3" w:rsidRDefault="006D3FA3" w:rsidP="006D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PURPOSE</w:t>
      </w:r>
    </w:p>
    <w:p w14:paraId="74D5977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1B6D5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Establish a single authoritative engineering baseline for the Heber Campus.</w:t>
      </w:r>
    </w:p>
    <w:p w14:paraId="456FDF2C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Lock target outputs, sizing basis, operating doctrine, and interface rules.</w:t>
      </w:r>
    </w:p>
    <w:p w14:paraId="6FD173FF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Provide a design contract for all subsystem engineering to prevent drift.</w:t>
      </w:r>
    </w:p>
    <w:p w14:paraId="515BF5B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EF80D2" w14:textId="77777777" w:rsidR="006D3FA3" w:rsidRPr="006D3FA3" w:rsidRDefault="006D3FA3" w:rsidP="006D3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MISSION STATEMENT</w:t>
      </w:r>
    </w:p>
    <w:p w14:paraId="322DC95D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and build a vertically integrated energy manufacturing campus that produces:</w:t>
      </w:r>
    </w:p>
    <w:p w14:paraId="2192BCC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618094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18,000 bpd finished fuels (Diesel, Jet-A, LPG)</w:t>
      </w:r>
    </w:p>
    <w:p w14:paraId="588E7685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1.5 GW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electrical generation capacity</w:t>
      </w:r>
    </w:p>
    <w:p w14:paraId="6C65B477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Industrial hydrogen and oxygen via SOEC</w:t>
      </w:r>
    </w:p>
    <w:p w14:paraId="14C92581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Scalable data center capacity (4 buildings baseline)</w:t>
      </w:r>
    </w:p>
    <w:p w14:paraId="03B08B7A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While maintaining safety, reliability, and long-term cost advantage over fossil refineries without dependence on fossil feedstocks.</w:t>
      </w:r>
    </w:p>
    <w:p w14:paraId="26E370F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226B8" w14:textId="77777777" w:rsidR="006D3FA3" w:rsidRPr="006D3FA3" w:rsidRDefault="006D3FA3" w:rsidP="006D3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BASELINE PRODUCT SLATE (LOCKED)</w:t>
      </w:r>
    </w:p>
    <w:p w14:paraId="7C44635E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3.1 Finished fuels output (nameplate)</w:t>
      </w:r>
    </w:p>
    <w:p w14:paraId="66A4F70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A56DFB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Diesel (ULSD): 12,000 barrels per day</w:t>
      </w:r>
    </w:p>
    <w:p w14:paraId="227916FE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Jet-A: 4,000 barrels per day</w:t>
      </w:r>
    </w:p>
    <w:p w14:paraId="1A73DBD4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LPG (Propane/Butane mix): 2,000 barrels per day</w:t>
      </w:r>
    </w:p>
    <w:p w14:paraId="69C5076A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liquids: 18,000 barrels per day</w:t>
      </w:r>
    </w:p>
    <w:p w14:paraId="46BA5E9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CB0AE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3.2 Data center buildout (nameplate)</w:t>
      </w:r>
    </w:p>
    <w:p w14:paraId="666E80DB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 data center buildings, 100,000 sq ft each</w:t>
      </w:r>
    </w:p>
    <w:p w14:paraId="38524746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Target total IT load: 200 MW</w:t>
      </w:r>
    </w:p>
    <w:p w14:paraId="4785099E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Target PUE: 1.20 to 1.30</w:t>
      </w:r>
    </w:p>
    <w:p w14:paraId="55CECD4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6500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3.3 Electrical generation (nameplate)</w:t>
      </w:r>
    </w:p>
    <w:p w14:paraId="7C58BC3C" w14:textId="77777777" w:rsidR="006D3FA3" w:rsidRPr="006D3FA3" w:rsidRDefault="006D3FA3" w:rsidP="006D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generation capacity: 1.5 GW</w:t>
      </w:r>
    </w:p>
    <w:p w14:paraId="733A43B4" w14:textId="77777777" w:rsidR="006D3FA3" w:rsidRPr="006D3FA3" w:rsidRDefault="006D3FA3" w:rsidP="006D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Must support internal loads and export.</w:t>
      </w:r>
    </w:p>
    <w:p w14:paraId="1D443E9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2C801" w14:textId="77777777" w:rsidR="006D3FA3" w:rsidRPr="006D3FA3" w:rsidRDefault="006D3FA3" w:rsidP="006D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OPERATING DOCTRINE</w:t>
      </w:r>
    </w:p>
    <w:p w14:paraId="775FA653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4.1 Campus is an energy conversion platform, not a single-product plant</w:t>
      </w:r>
    </w:p>
    <w:p w14:paraId="2B7CC7C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9AA82" w14:textId="77777777" w:rsidR="006D3FA3" w:rsidRPr="006D3FA3" w:rsidRDefault="006D3FA3" w:rsidP="006D3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Power, fuels, hydrogen, oxygen, CO2, and data workloads are routed dynamically.</w:t>
      </w:r>
    </w:p>
    <w:p w14:paraId="26DF2F6B" w14:textId="77777777" w:rsidR="006D3FA3" w:rsidRPr="006D3FA3" w:rsidRDefault="006D3FA3" w:rsidP="006D3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Revenue capture shifts to strongest market while maintaining process stability.</w:t>
      </w:r>
    </w:p>
    <w:p w14:paraId="5B2AEED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8A4B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4.2 Stability over peak margin</w:t>
      </w:r>
    </w:p>
    <w:p w14:paraId="6172C8D4" w14:textId="77777777" w:rsidR="006D3FA3" w:rsidRPr="006D3FA3" w:rsidRDefault="006D3FA3" w:rsidP="006D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Design for 95% uptime steady-state operation.</w:t>
      </w:r>
    </w:p>
    <w:p w14:paraId="0B8F6581" w14:textId="77777777" w:rsidR="006D3FA3" w:rsidRPr="006D3FA3" w:rsidRDefault="006D3FA3" w:rsidP="006D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Avoid designs that require frequent thermal cycling of SOEC, FT, or gasification systems.</w:t>
      </w:r>
    </w:p>
    <w:p w14:paraId="1735BC5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870B1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4.3 Phased expansion</w:t>
      </w:r>
    </w:p>
    <w:p w14:paraId="6EC1D8CE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1: Prove continuous diesel-first operations.</w:t>
      </w:r>
    </w:p>
    <w:p w14:paraId="1DA75A6A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2: Expand jet capability and polishing.</w:t>
      </w:r>
    </w:p>
    <w:p w14:paraId="3844467C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3: Harden logistics, add optional CO2 and NG resilience, expand storage.</w:t>
      </w:r>
    </w:p>
    <w:p w14:paraId="2E50E2CE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4+: Duplicate modules to scale fuels and data centers.</w:t>
      </w:r>
    </w:p>
    <w:p w14:paraId="7019D7E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D3F78" w14:textId="77777777" w:rsidR="006D3FA3" w:rsidRPr="006D3FA3" w:rsidRDefault="006D3FA3" w:rsidP="006D3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HIGH-LEVEL MASS AND ENERGY BASIS (ENGINEERING START POINT)</w:t>
      </w:r>
    </w:p>
    <w:p w14:paraId="21F8A40E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5.1 Hydrogen requirement (baseline)</w:t>
      </w:r>
    </w:p>
    <w:p w14:paraId="5ABA6F2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7CCC4" w14:textId="77777777" w:rsidR="006D3FA3" w:rsidRPr="006D3FA3" w:rsidRDefault="006D3FA3" w:rsidP="006D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H2 demand basis: 457 t/day (457,000 kg/day)</w:t>
      </w:r>
    </w:p>
    <w:p w14:paraId="0687569F" w14:textId="77777777" w:rsidR="006D3FA3" w:rsidRPr="006D3FA3" w:rsidRDefault="006D3FA3" w:rsidP="006D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This is the campus planning basis until detailed PFD mass balance replaces it.</w:t>
      </w:r>
    </w:p>
    <w:p w14:paraId="1112B5F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DB213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5.2 Oxygen co-product</w:t>
      </w:r>
    </w:p>
    <w:p w14:paraId="12961114" w14:textId="77777777" w:rsidR="006D3FA3" w:rsidRPr="006D3FA3" w:rsidRDefault="006D3FA3" w:rsidP="006D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O2 produced: ~3,650 t/day (8 kg O2 per 1 kg H2)</w:t>
      </w:r>
    </w:p>
    <w:p w14:paraId="2219D46E" w14:textId="77777777" w:rsidR="006D3FA3" w:rsidRPr="006D3FA3" w:rsidRDefault="006D3FA3" w:rsidP="006D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O2 is treated as a primary process asset (gasifier,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oxy-combustion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, process burners).</w:t>
      </w:r>
    </w:p>
    <w:p w14:paraId="53F7413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8E099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5.3 Water requirement</w:t>
      </w:r>
    </w:p>
    <w:p w14:paraId="1711BBB2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Chemistry minimum for electrolysis: 9 kg water per 1 kg H2</w:t>
      </w:r>
    </w:p>
    <w:p w14:paraId="1E5A6219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Minimum water for H2: ~1.09 MGD</w:t>
      </w:r>
    </w:p>
    <w:p w14:paraId="0C722909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water withdrawal planning basis: 1.5 to 2.0 MGD total for process and utilities.</w:t>
      </w:r>
    </w:p>
    <w:p w14:paraId="129CEA7B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Source: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Coconino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aquifer, subject to ADEQ approvals.</w:t>
      </w:r>
    </w:p>
    <w:p w14:paraId="28DC2A9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B3F7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5.4 Biomass requirement (baseline planning)</w:t>
      </w:r>
    </w:p>
    <w:p w14:paraId="449DC8AA" w14:textId="77777777" w:rsidR="006D3FA3" w:rsidRPr="006D3FA3" w:rsidRDefault="006D3FA3" w:rsidP="006D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Biomass inbound basis for fuels + 100 MW biomass electric:</w:t>
      </w:r>
    </w:p>
    <w:p w14:paraId="7427E9D6" w14:textId="77777777" w:rsidR="006D3FA3" w:rsidRPr="006D3FA3" w:rsidRDefault="006D3FA3" w:rsidP="006D3FA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Fuels carbon island: 5,500 to 6,500 tons/day as received (early planning)</w:t>
      </w:r>
    </w:p>
    <w:p w14:paraId="3A42ACE8" w14:textId="77777777" w:rsidR="006D3FA3" w:rsidRPr="006D3FA3" w:rsidRDefault="006D3FA3" w:rsidP="006D3FA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Biomass electric target: 100 MW average (steam-forward CHP preferred)</w:t>
      </w:r>
    </w:p>
    <w:p w14:paraId="2AF004FE" w14:textId="77777777" w:rsidR="006D3FA3" w:rsidRPr="006D3FA3" w:rsidRDefault="006D3FA3" w:rsidP="006D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biomass as received will be refined by feedstock blend model and PFD mass balance.</w:t>
      </w:r>
    </w:p>
    <w:p w14:paraId="54FC4D6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24D0B" w14:textId="77777777" w:rsidR="006D3FA3" w:rsidRPr="006D3FA3" w:rsidRDefault="006D3FA3" w:rsidP="006D3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 ARCHITECTURE REQUIREMENTS</w:t>
      </w:r>
    </w:p>
    <w:p w14:paraId="1AC29D07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6.1 Internal power priority order (default dispatch)</w:t>
      </w:r>
    </w:p>
    <w:p w14:paraId="370EDCF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F3416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Critical safety systems, controls, purge, ventilation</w:t>
      </w:r>
    </w:p>
    <w:p w14:paraId="23BE19B8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uptime load (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anchor)</w:t>
      </w:r>
    </w:p>
    <w:p w14:paraId="4EED66A2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SOEC minimum stable operating band (avoid thermal cycling)</w:t>
      </w:r>
    </w:p>
    <w:p w14:paraId="048736F0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Chemical plant steady-state duty</w:t>
      </w:r>
    </w:p>
    <w:p w14:paraId="52533FBF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Battery charging and hydrogen storage fill</w:t>
      </w:r>
    </w:p>
    <w:p w14:paraId="5EC162D1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Merchant export</w:t>
      </w:r>
    </w:p>
    <w:p w14:paraId="3BF8E35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72EC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6.2 Internal electric pricing doctrine (accounting)</w:t>
      </w:r>
    </w:p>
    <w:p w14:paraId="1E0AEA94" w14:textId="77777777" w:rsidR="006D3FA3" w:rsidRPr="006D3FA3" w:rsidRDefault="006D3FA3" w:rsidP="006D3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PowerCo and RefineryCo must be modeled separately.</w:t>
      </w:r>
    </w:p>
    <w:p w14:paraId="23D5F886" w14:textId="77777777" w:rsidR="006D3FA3" w:rsidRPr="006D3FA3" w:rsidRDefault="006D3FA3" w:rsidP="006D3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Transfer pricing internal power must be defined even if consolidated economics capture the upside.</w:t>
      </w:r>
    </w:p>
    <w:p w14:paraId="62ABEE7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8378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6.3 Firming and resilience</w:t>
      </w:r>
    </w:p>
    <w:p w14:paraId="7FA61565" w14:textId="77777777" w:rsidR="006D3FA3" w:rsidRPr="006D3FA3" w:rsidRDefault="006D3FA3" w:rsidP="006D3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System must ride through cloud cover and renewable variance using:</w:t>
      </w:r>
    </w:p>
    <w:p w14:paraId="218FB31D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Battery buffering</w:t>
      </w:r>
    </w:p>
    <w:p w14:paraId="20D716E9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Firm power sources (SMR and biomass)</w:t>
      </w:r>
    </w:p>
    <w:p w14:paraId="7696A509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Load-shaping and turndown logic on non-critical processes</w:t>
      </w:r>
    </w:p>
    <w:p w14:paraId="0C46338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43D46" w14:textId="77777777" w:rsidR="006D3FA3" w:rsidRPr="006D3FA3" w:rsidRDefault="006D3FA3" w:rsidP="006D3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PROCESS ARCHITECTURE REQUIREMENTS</w:t>
      </w:r>
    </w:p>
    <w:p w14:paraId="7B1FA834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7.1 Carbon pathway baseline</w:t>
      </w:r>
    </w:p>
    <w:p w14:paraId="0884C3D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8ABD9" w14:textId="77777777" w:rsidR="006D3FA3" w:rsidRPr="006D3FA3" w:rsidRDefault="006D3FA3" w:rsidP="006D3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Hybrid pathway is baseline:</w:t>
      </w:r>
    </w:p>
    <w:p w14:paraId="2CC580E5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Biomass gasification -&gt; syngas cleanup -&gt; conditioning</w:t>
      </w:r>
    </w:p>
    <w:p w14:paraId="2FEE9B99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RWGS trim using H2 + CO2 for H2/CO control</w:t>
      </w:r>
    </w:p>
    <w:p w14:paraId="6FD3FE37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Fischer-Tropsch synthesis</w:t>
      </w:r>
    </w:p>
    <w:p w14:paraId="32CC88AE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Upgrading (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hydrocracking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isomerization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hydrotreat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)</w:t>
      </w:r>
    </w:p>
    <w:p w14:paraId="6BA4490F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Fractionation and blending to Diesel, Jet-A, LPG</w:t>
      </w:r>
    </w:p>
    <w:p w14:paraId="1893BA1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56BE9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7.2 SOEC steam doctrine</w:t>
      </w:r>
    </w:p>
    <w:p w14:paraId="78D9EC69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External steam supply: 150 to 200 C to BOP</w:t>
      </w:r>
    </w:p>
    <w:p w14:paraId="5B4F5E45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SOEC internal heating raises to operating temperature (650 to 800 C internal)</w:t>
      </w:r>
    </w:p>
    <w:p w14:paraId="0EE06D16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to minimize SOEC thermal cycling; favor hot standby.</w:t>
      </w:r>
    </w:p>
    <w:p w14:paraId="52C5ADA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A480A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7.3 CO2 doctrine</w:t>
      </w:r>
    </w:p>
    <w:p w14:paraId="35E8EA27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Internal carbon supply must support 110% of demand.</w:t>
      </w:r>
    </w:p>
    <w:p w14:paraId="436B9F54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External CO2 (Novo, Navajo Nation, others) is makeup only, never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dependency.</w:t>
      </w:r>
    </w:p>
    <w:p w14:paraId="12CC2618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CO2 storage must buffer 3 to 5 days of consumption (final tankage per PFD).</w:t>
      </w:r>
    </w:p>
    <w:p w14:paraId="3CDE329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8D7A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7.4 Natural gas doctrine</w:t>
      </w:r>
    </w:p>
    <w:p w14:paraId="0C86E07E" w14:textId="77777777" w:rsidR="006D3FA3" w:rsidRPr="006D3FA3" w:rsidRDefault="006D3FA3" w:rsidP="006D3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NG pipeline tap is optional resilience:</w:t>
      </w:r>
    </w:p>
    <w:p w14:paraId="2D5EF0AE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Startup and shutdown heat</w:t>
      </w:r>
    </w:p>
    <w:p w14:paraId="2E4411D0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Emergency backup generation</w:t>
      </w:r>
    </w:p>
    <w:p w14:paraId="046C20CC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Extreme weather and outage insurance</w:t>
      </w:r>
    </w:p>
    <w:p w14:paraId="4332E97B" w14:textId="77777777" w:rsidR="006D3FA3" w:rsidRPr="006D3FA3" w:rsidRDefault="006D3FA3" w:rsidP="006D3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NG must not be required for steady-state economics or carbon narrative.</w:t>
      </w:r>
    </w:p>
    <w:p w14:paraId="1333F67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20FF6" w14:textId="77777777" w:rsidR="006D3FA3" w:rsidRPr="006D3FA3" w:rsidRDefault="006D3FA3" w:rsidP="006D3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LOGISTICS AND INFRASTRUCTURE REQUIREMENTS</w:t>
      </w:r>
    </w:p>
    <w:p w14:paraId="57AB3213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8.1 Northbound spine doctrine</w:t>
      </w:r>
    </w:p>
    <w:p w14:paraId="5DACD75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E4002" w14:textId="77777777" w:rsidR="006D3FA3" w:rsidRPr="006D3FA3" w:rsidRDefault="006D3FA3" w:rsidP="006D3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Tie campus to I-40 corridor for:</w:t>
      </w:r>
    </w:p>
    <w:p w14:paraId="657A5BEC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Pipeline infrastructure (product out)</w:t>
      </w:r>
    </w:p>
    <w:p w14:paraId="22256CB7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Natural gas in (optional)</w:t>
      </w:r>
    </w:p>
    <w:p w14:paraId="10C86540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connectivity</w:t>
      </w:r>
    </w:p>
    <w:p w14:paraId="72E107A3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Highway access improvements</w:t>
      </w:r>
    </w:p>
    <w:p w14:paraId="3DEEEBA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4489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8.2 Rail doctrine</w:t>
      </w:r>
    </w:p>
    <w:p w14:paraId="17F22659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is preferred over spur.</w:t>
      </w:r>
    </w:p>
    <w:p w14:paraId="3FB5D51C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is primary for biomass at scale; trucks are local only (depot model).</w:t>
      </w:r>
    </w:p>
    <w:p w14:paraId="3DBD7687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must support unit train or high-throughput switching to avoid yard congestion.</w:t>
      </w:r>
    </w:p>
    <w:p w14:paraId="2878ED5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5E35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8.3 Road doctrine</w:t>
      </w:r>
    </w:p>
    <w:p w14:paraId="285F7E69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Leverage existing paved corridors where possible (AZ-99 concept) to minimize new construction.</w:t>
      </w:r>
    </w:p>
    <w:p w14:paraId="72815B02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Heavy traffic routing must avoid Heber residential disruption.</w:t>
      </w:r>
    </w:p>
    <w:p w14:paraId="678D45E6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Emergency access routes must be redundant.</w:t>
      </w:r>
    </w:p>
    <w:p w14:paraId="31BF713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7B4C2" w14:textId="77777777" w:rsidR="006D3FA3" w:rsidRPr="006D3FA3" w:rsidRDefault="006D3FA3" w:rsidP="006D3F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REQUIREMENTS</w:t>
      </w:r>
    </w:p>
    <w:p w14:paraId="5D8E4586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9.1 Scalability</w:t>
      </w:r>
    </w:p>
    <w:p w14:paraId="360E17B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0D937" w14:textId="77777777" w:rsidR="006D3FA3" w:rsidRPr="006D3FA3" w:rsidRDefault="006D3FA3" w:rsidP="006D3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Site must reserve pads and utility corridors for buildings 2-4 from Day 1.</w:t>
      </w:r>
    </w:p>
    <w:p w14:paraId="7C89F7FB" w14:textId="77777777" w:rsidR="006D3FA3" w:rsidRPr="006D3FA3" w:rsidRDefault="006D3FA3" w:rsidP="006D3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Electrical redundancy design must support modular expansion without rework.</w:t>
      </w:r>
    </w:p>
    <w:p w14:paraId="53FB52B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0298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9.2 Cooling doctrine</w:t>
      </w:r>
    </w:p>
    <w:p w14:paraId="7A6679C8" w14:textId="77777777" w:rsidR="006D3FA3" w:rsidRPr="006D3FA3" w:rsidRDefault="006D3FA3" w:rsidP="006D3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Thermal integration is allowed and encouraged where it does not add fragility.</w:t>
      </w:r>
    </w:p>
    <w:p w14:paraId="485AE804" w14:textId="77777777" w:rsidR="006D3FA3" w:rsidRPr="006D3FA3" w:rsidRDefault="006D3FA3" w:rsidP="006D3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Water consumption impact must remain inside the campus water planning basis.</w:t>
      </w:r>
    </w:p>
    <w:p w14:paraId="6283ACC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75701" w14:textId="77777777" w:rsidR="006D3FA3" w:rsidRPr="006D3FA3" w:rsidRDefault="006D3FA3" w:rsidP="006D3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STAFFING BASIS (STEADY STATE)</w:t>
      </w:r>
    </w:p>
    <w:p w14:paraId="1321BAF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EB4CE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Integrated campus staffing basis (power + refinery + H2 + biomass + admin): 550 to 700</w:t>
      </w:r>
    </w:p>
    <w:p w14:paraId="1F3B0E37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staffing basis (4 buildings): 120 to 160</w:t>
      </w:r>
    </w:p>
    <w:p w14:paraId="379D237B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direct staff: 670 to 860</w:t>
      </w:r>
    </w:p>
    <w:p w14:paraId="2266F4CF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Planning basis: 750 to 800 direct employees</w:t>
      </w:r>
    </w:p>
    <w:p w14:paraId="62CA7BD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DF4B9" w14:textId="77777777" w:rsidR="006D3FA3" w:rsidRPr="006D3FA3" w:rsidRDefault="006D3FA3" w:rsidP="006D3F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 AND COMPLIANCE REQUIREMENTS</w:t>
      </w:r>
    </w:p>
    <w:p w14:paraId="05A21C3A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11.1 Safety hierarchy</w:t>
      </w:r>
    </w:p>
    <w:p w14:paraId="3721875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18C71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Life safety first, asset second, production third.</w:t>
      </w:r>
    </w:p>
    <w:p w14:paraId="7F85863E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 PLC handles hard real-time shutdown logic independent of AI supervisor.</w:t>
      </w:r>
    </w:p>
    <w:p w14:paraId="407BE565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MECSAI issues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only; never directly toggles hardware.</w:t>
      </w:r>
    </w:p>
    <w:p w14:paraId="6C1C2AA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E50F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11.2 Core compliance domains</w:t>
      </w:r>
    </w:p>
    <w:p w14:paraId="4795FCCF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Hydrogen safety: detection, ventilation, purging, separation distances, emergency isolation</w:t>
      </w:r>
    </w:p>
    <w:p w14:paraId="6010778D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Process safety management: hazard analysis and operating procedures</w:t>
      </w:r>
    </w:p>
    <w:p w14:paraId="72C73AB4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Electrical: NEC compliance, arc flash study, grounding, protection coordination</w:t>
      </w:r>
    </w:p>
    <w:p w14:paraId="60240D77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Pressure systems: ASME where applicable, relief and vent systems</w:t>
      </w:r>
    </w:p>
    <w:p w14:paraId="622574A8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Environmental: ADEQ air and water, reporting and monitoring</w:t>
      </w:r>
    </w:p>
    <w:p w14:paraId="51F9367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C0AA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11.3 Emergency response</w:t>
      </w:r>
    </w:p>
    <w:p w14:paraId="4320F604" w14:textId="77777777" w:rsidR="006D3FA3" w:rsidRPr="006D3FA3" w:rsidRDefault="006D3FA3" w:rsidP="006D3F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Onsite E-stops, remote shutoffs, and clear emergency signage.</w:t>
      </w:r>
    </w:p>
    <w:p w14:paraId="628AD962" w14:textId="77777777" w:rsidR="006D3FA3" w:rsidRPr="006D3FA3" w:rsidRDefault="006D3FA3" w:rsidP="006D3F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Fire suppression designed for battery and industrial process zones.</w:t>
      </w:r>
    </w:p>
    <w:p w14:paraId="03C26DF4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0EBF4" w14:textId="77777777" w:rsidR="006D3FA3" w:rsidRPr="006D3FA3" w:rsidRDefault="006D3FA3" w:rsidP="006D3F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CONTROL SYSTEM REQUIREMENTS</w:t>
      </w:r>
    </w:p>
    <w:p w14:paraId="1F68BFF7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12.1 MECSAI supervisory doctrine</w:t>
      </w:r>
    </w:p>
    <w:p w14:paraId="109935C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10555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Monitors: power flows, battery SOC, hydrogen storage, thermal buffers, weather forecast, demand.</w:t>
      </w:r>
    </w:p>
    <w:p w14:paraId="02267941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Maintains minimum stable operation bands for critical subsystems.</w:t>
      </w:r>
    </w:p>
    <w:p w14:paraId="19067142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Logs every decision and action for audit.</w:t>
      </w:r>
    </w:p>
    <w:p w14:paraId="27339EC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E68A6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12.2 Interface control</w:t>
      </w:r>
    </w:p>
    <w:p w14:paraId="7AE1588E" w14:textId="77777777" w:rsidR="006D3FA3" w:rsidRPr="006D3FA3" w:rsidRDefault="006D3FA3" w:rsidP="006D3F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Every subsystem publishes an ICD: power, fluid, thermal, controls.</w:t>
      </w:r>
    </w:p>
    <w:p w14:paraId="320F3EE5" w14:textId="77777777" w:rsidR="006D3FA3" w:rsidRPr="006D3FA3" w:rsidRDefault="006D3FA3" w:rsidP="006D3F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No TBDs allowed at interface boundaries for production release.</w:t>
      </w:r>
    </w:p>
    <w:p w14:paraId="0DEC929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14616" w14:textId="77777777" w:rsidR="006D3FA3" w:rsidRPr="006D3FA3" w:rsidRDefault="006D3FA3" w:rsidP="006D3F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ECONOMICS AND CONTRACTING REQUIREMENTS</w:t>
      </w:r>
    </w:p>
    <w:p w14:paraId="5CAA848B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13.1 Feedstock strategy</w:t>
      </w:r>
    </w:p>
    <w:p w14:paraId="14ABBE7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57E6B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1: forestry contracts + farmer contracts</w:t>
      </w:r>
    </w:p>
    <w:p w14:paraId="1CBF9D66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2: diversify with Navajo Nation biomass supply and additional depots</w:t>
      </w:r>
    </w:p>
    <w:p w14:paraId="7E061350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3: consider land ownership only after stable cash flow</w:t>
      </w:r>
    </w:p>
    <w:p w14:paraId="4A1FEC4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8688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13.2 Revenue strategy</w:t>
      </w:r>
    </w:p>
    <w:p w14:paraId="4E8F3C91" w14:textId="77777777" w:rsidR="006D3FA3" w:rsidRPr="006D3FA3" w:rsidRDefault="006D3FA3" w:rsidP="006D3F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Three-legged stool:</w:t>
      </w:r>
    </w:p>
    <w:p w14:paraId="6813569F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 export revenue</w:t>
      </w:r>
    </w:p>
    <w:p w14:paraId="48EF0AB2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Fuels revenue</w:t>
      </w:r>
    </w:p>
    <w:p w14:paraId="157A2EF3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revenue</w:t>
      </w:r>
    </w:p>
    <w:p w14:paraId="0B67E36B" w14:textId="77777777" w:rsidR="006D3FA3" w:rsidRPr="006D3FA3" w:rsidRDefault="006D3FA3" w:rsidP="006D3F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Maintain optionality to shift export vs internal consumption depending on market.</w:t>
      </w:r>
    </w:p>
    <w:p w14:paraId="2B8C29C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ABF8F" w14:textId="77777777" w:rsidR="006D3FA3" w:rsidRPr="006D3FA3" w:rsidRDefault="006D3FA3" w:rsidP="006D3F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PHASING AND GATES</w:t>
      </w:r>
    </w:p>
    <w:p w14:paraId="7203A0BF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0 - Site and ROW lock</w:t>
      </w:r>
    </w:p>
    <w:p w14:paraId="103AAA6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75A21" w14:textId="77777777" w:rsidR="006D3FA3" w:rsidRPr="006D3FA3" w:rsidRDefault="006D3FA3" w:rsidP="006D3F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ROW options secured for rail, pipelines, roads, utilities.</w:t>
      </w:r>
    </w:p>
    <w:p w14:paraId="7039665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9482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1 - Power backbone and minimum viable fuels</w:t>
      </w:r>
    </w:p>
    <w:p w14:paraId="15F264A1" w14:textId="77777777" w:rsidR="006D3FA3" w:rsidRPr="006D3FA3" w:rsidRDefault="006D3FA3" w:rsidP="006D3F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Prove continuous operation, safety, and product quality.</w:t>
      </w:r>
    </w:p>
    <w:p w14:paraId="0F0B2126" w14:textId="77777777" w:rsidR="006D3FA3" w:rsidRPr="006D3FA3" w:rsidRDefault="006D3FA3" w:rsidP="006D3F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Diesel-first commissioning.</w:t>
      </w:r>
    </w:p>
    <w:p w14:paraId="39036C2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9A4C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2 - Full 18,000 bpd slate at spec</w:t>
      </w:r>
    </w:p>
    <w:p w14:paraId="311278F9" w14:textId="77777777" w:rsidR="006D3FA3" w:rsidRPr="006D3FA3" w:rsidRDefault="006D3FA3" w:rsidP="006D3F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Jet-A polishing and stable quality compliance.</w:t>
      </w:r>
    </w:p>
    <w:p w14:paraId="2CB7C1C6" w14:textId="77777777" w:rsidR="006D3FA3" w:rsidRPr="006D3FA3" w:rsidRDefault="006D3FA3" w:rsidP="006D3F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LPG polishing as needed.</w:t>
      </w:r>
    </w:p>
    <w:p w14:paraId="2091903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5515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3 - Northbound spine completion</w:t>
      </w:r>
    </w:p>
    <w:p w14:paraId="631D35AA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operational</w:t>
      </w:r>
    </w:p>
    <w:p w14:paraId="72A09F29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Road connector and traffic plan operational</w:t>
      </w:r>
    </w:p>
    <w:p w14:paraId="1706D106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Product pipeline tie-in operational</w:t>
      </w:r>
    </w:p>
    <w:p w14:paraId="7B8D80A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DB70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4 - Expansion modules</w:t>
      </w:r>
    </w:p>
    <w:p w14:paraId="1DB43788" w14:textId="77777777" w:rsidR="006D3FA3" w:rsidRPr="006D3FA3" w:rsidRDefault="006D3FA3" w:rsidP="006D3F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Duplicate SOEC, FT trains, storage, and add DC buildings as demand grows.</w:t>
      </w:r>
    </w:p>
    <w:p w14:paraId="25C30CB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C6834" w14:textId="77777777" w:rsidR="006D3FA3" w:rsidRPr="006D3FA3" w:rsidRDefault="006D3FA3" w:rsidP="006D3F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ACCEPTANCE CRITERIA (TOP LEVEL)</w:t>
      </w:r>
    </w:p>
    <w:p w14:paraId="2AC67FE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5F280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Production: achieve 12/4/2 bpd outputs at contract spec.</w:t>
      </w:r>
    </w:p>
    <w:p w14:paraId="76D4DEB4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Availability: 95% annual uptime target after stabilization.</w:t>
      </w:r>
    </w:p>
    <w:p w14:paraId="5F70A729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Safety: zero critical compliance failures; validated shutdown and purge logic.</w:t>
      </w:r>
    </w:p>
    <w:p w14:paraId="7FC9AED3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Logistics: demonstrated inbound biomass throughput without urban disruption.</w:t>
      </w:r>
    </w:p>
    <w:p w14:paraId="7744DA2C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centers: PUE within target range and uptime compliance.</w:t>
      </w:r>
    </w:p>
    <w:p w14:paraId="2772BE0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1BA22" w14:textId="77777777" w:rsidR="006D3FA3" w:rsidRPr="006D3FA3" w:rsidRDefault="006D3FA3" w:rsidP="006D3F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GOVERNANCE AND CHANGE CONTROL</w:t>
      </w:r>
    </w:p>
    <w:p w14:paraId="0F7E9A26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C5795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This MGD is the top-level design contract.</w:t>
      </w:r>
    </w:p>
    <w:p w14:paraId="33E8B650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Any change to Sections 3-7 requires ARCHITECT approval and ATB review.</w:t>
      </w:r>
    </w:p>
    <w:p w14:paraId="01A6E3F9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All changes must include:</w:t>
      </w:r>
    </w:p>
    <w:p w14:paraId="7A8470D0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impact on outputs</w:t>
      </w:r>
    </w:p>
    <w:p w14:paraId="45E8E5F5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impact on interfaces</w:t>
      </w:r>
    </w:p>
    <w:p w14:paraId="12CAB9C1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capex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opex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impact</w:t>
      </w:r>
    </w:p>
    <w:p w14:paraId="0644DB1D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risk and mitigation</w:t>
      </w:r>
    </w:p>
    <w:p w14:paraId="1A968B4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9EEEC" w14:textId="77777777" w:rsidR="006D3FA3" w:rsidRPr="006D3FA3" w:rsidRDefault="006D3FA3" w:rsidP="006D3F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CHANGE LOG</w:t>
      </w:r>
    </w:p>
    <w:p w14:paraId="26FF9C3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7D014" w14:textId="77777777" w:rsidR="006D3FA3" w:rsidRPr="006D3FA3" w:rsidRDefault="006D3FA3" w:rsidP="006D3F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Rev A: Initial baseline established from approved 12/4/2 product slate, 1.5 GW generation, 4 DC buildings, hybrid fuels pathway, northbound spine doctrine.</w:t>
      </w:r>
    </w:p>
    <w:p w14:paraId="279665A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6C86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====================================================================</w:t>
      </w:r>
    </w:p>
    <w:p w14:paraId="1664B5D8" w14:textId="77777777" w:rsidR="006D3FA3" w:rsidRDefault="006D3FA3"/>
    <w:sectPr w:rsidR="006D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54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0D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0AC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87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262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64621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D7E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D1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07761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D0D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23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418A1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EF02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D35B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A11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249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E5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449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F6EE9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40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14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07F0B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4F2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875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D7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E2B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03361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E1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13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76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E79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52C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E084F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7A2743"/>
    <w:multiLevelType w:val="multilevel"/>
    <w:tmpl w:val="FFFFFFFF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5B7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33C0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21140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615850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6925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E1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B1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668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B17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E1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A6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11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7E41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EA1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E74B0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C07A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216F9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443B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2341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C00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84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2506">
    <w:abstractNumId w:val="5"/>
  </w:num>
  <w:num w:numId="2" w16cid:durableId="1499689602">
    <w:abstractNumId w:val="48"/>
  </w:num>
  <w:num w:numId="3" w16cid:durableId="840704068">
    <w:abstractNumId w:val="14"/>
  </w:num>
  <w:num w:numId="4" w16cid:durableId="1129709781">
    <w:abstractNumId w:val="8"/>
  </w:num>
  <w:num w:numId="5" w16cid:durableId="600454801">
    <w:abstractNumId w:val="3"/>
  </w:num>
  <w:num w:numId="6" w16cid:durableId="1173761601">
    <w:abstractNumId w:val="13"/>
  </w:num>
  <w:num w:numId="7" w16cid:durableId="59602867">
    <w:abstractNumId w:val="25"/>
  </w:num>
  <w:num w:numId="8" w16cid:durableId="460265622">
    <w:abstractNumId w:val="36"/>
  </w:num>
  <w:num w:numId="9" w16cid:durableId="852694537">
    <w:abstractNumId w:val="52"/>
  </w:num>
  <w:num w:numId="10" w16cid:durableId="1372877512">
    <w:abstractNumId w:val="4"/>
  </w:num>
  <w:num w:numId="11" w16cid:durableId="116611541">
    <w:abstractNumId w:val="16"/>
  </w:num>
  <w:num w:numId="12" w16cid:durableId="1838761514">
    <w:abstractNumId w:val="55"/>
  </w:num>
  <w:num w:numId="13" w16cid:durableId="301424343">
    <w:abstractNumId w:val="53"/>
  </w:num>
  <w:num w:numId="14" w16cid:durableId="568658054">
    <w:abstractNumId w:val="21"/>
  </w:num>
  <w:num w:numId="15" w16cid:durableId="402987649">
    <w:abstractNumId w:val="17"/>
  </w:num>
  <w:num w:numId="16" w16cid:durableId="2145073045">
    <w:abstractNumId w:val="44"/>
  </w:num>
  <w:num w:numId="17" w16cid:durableId="1459371606">
    <w:abstractNumId w:val="1"/>
  </w:num>
  <w:num w:numId="18" w16cid:durableId="762067677">
    <w:abstractNumId w:val="19"/>
  </w:num>
  <w:num w:numId="19" w16cid:durableId="2109303462">
    <w:abstractNumId w:val="51"/>
  </w:num>
  <w:num w:numId="20" w16cid:durableId="721291370">
    <w:abstractNumId w:val="11"/>
  </w:num>
  <w:num w:numId="21" w16cid:durableId="1052386084">
    <w:abstractNumId w:val="54"/>
  </w:num>
  <w:num w:numId="22" w16cid:durableId="1243833245">
    <w:abstractNumId w:val="39"/>
  </w:num>
  <w:num w:numId="23" w16cid:durableId="1913274176">
    <w:abstractNumId w:val="22"/>
  </w:num>
  <w:num w:numId="24" w16cid:durableId="406996968">
    <w:abstractNumId w:val="20"/>
  </w:num>
  <w:num w:numId="25" w16cid:durableId="1570072648">
    <w:abstractNumId w:val="26"/>
  </w:num>
  <w:num w:numId="26" w16cid:durableId="860243493">
    <w:abstractNumId w:val="46"/>
  </w:num>
  <w:num w:numId="27" w16cid:durableId="1181093206">
    <w:abstractNumId w:val="28"/>
  </w:num>
  <w:num w:numId="28" w16cid:durableId="980691809">
    <w:abstractNumId w:val="30"/>
  </w:num>
  <w:num w:numId="29" w16cid:durableId="466365128">
    <w:abstractNumId w:val="42"/>
  </w:num>
  <w:num w:numId="30" w16cid:durableId="1481995484">
    <w:abstractNumId w:val="47"/>
  </w:num>
  <w:num w:numId="31" w16cid:durableId="1418021391">
    <w:abstractNumId w:val="50"/>
  </w:num>
  <w:num w:numId="32" w16cid:durableId="1258519705">
    <w:abstractNumId w:val="40"/>
  </w:num>
  <w:num w:numId="33" w16cid:durableId="769668743">
    <w:abstractNumId w:val="24"/>
  </w:num>
  <w:num w:numId="34" w16cid:durableId="649288268">
    <w:abstractNumId w:val="6"/>
  </w:num>
  <w:num w:numId="35" w16cid:durableId="338972215">
    <w:abstractNumId w:val="31"/>
  </w:num>
  <w:num w:numId="36" w16cid:durableId="451172642">
    <w:abstractNumId w:val="37"/>
  </w:num>
  <w:num w:numId="37" w16cid:durableId="1682314320">
    <w:abstractNumId w:val="15"/>
  </w:num>
  <w:num w:numId="38" w16cid:durableId="1360549409">
    <w:abstractNumId w:val="56"/>
  </w:num>
  <w:num w:numId="39" w16cid:durableId="1730684063">
    <w:abstractNumId w:val="2"/>
  </w:num>
  <w:num w:numId="40" w16cid:durableId="375155971">
    <w:abstractNumId w:val="9"/>
  </w:num>
  <w:num w:numId="41" w16cid:durableId="205219545">
    <w:abstractNumId w:val="29"/>
  </w:num>
  <w:num w:numId="42" w16cid:durableId="1524898916">
    <w:abstractNumId w:val="33"/>
  </w:num>
  <w:num w:numId="43" w16cid:durableId="1890652526">
    <w:abstractNumId w:val="38"/>
  </w:num>
  <w:num w:numId="44" w16cid:durableId="854030591">
    <w:abstractNumId w:val="32"/>
  </w:num>
  <w:num w:numId="45" w16cid:durableId="1651713807">
    <w:abstractNumId w:val="7"/>
  </w:num>
  <w:num w:numId="46" w16cid:durableId="2144030788">
    <w:abstractNumId w:val="12"/>
  </w:num>
  <w:num w:numId="47" w16cid:durableId="131020792">
    <w:abstractNumId w:val="0"/>
  </w:num>
  <w:num w:numId="48" w16cid:durableId="697003296">
    <w:abstractNumId w:val="49"/>
  </w:num>
  <w:num w:numId="49" w16cid:durableId="128595643">
    <w:abstractNumId w:val="18"/>
  </w:num>
  <w:num w:numId="50" w16cid:durableId="1903179918">
    <w:abstractNumId w:val="43"/>
  </w:num>
  <w:num w:numId="51" w16cid:durableId="1093287194">
    <w:abstractNumId w:val="45"/>
  </w:num>
  <w:num w:numId="52" w16cid:durableId="1951087764">
    <w:abstractNumId w:val="34"/>
  </w:num>
  <w:num w:numId="53" w16cid:durableId="1444568034">
    <w:abstractNumId w:val="27"/>
  </w:num>
  <w:num w:numId="54" w16cid:durableId="290356956">
    <w:abstractNumId w:val="23"/>
  </w:num>
  <w:num w:numId="55" w16cid:durableId="977421832">
    <w:abstractNumId w:val="10"/>
  </w:num>
  <w:num w:numId="56" w16cid:durableId="2006661109">
    <w:abstractNumId w:val="35"/>
  </w:num>
  <w:num w:numId="57" w16cid:durableId="291639483">
    <w:abstractNumId w:val="4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A3"/>
    <w:rsid w:val="003E5C5F"/>
    <w:rsid w:val="00470739"/>
    <w:rsid w:val="005068FC"/>
    <w:rsid w:val="005E0727"/>
    <w:rsid w:val="006D3FA3"/>
    <w:rsid w:val="00A53497"/>
    <w:rsid w:val="00B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84E08"/>
  <w15:chartTrackingRefBased/>
  <w15:docId w15:val="{DE7BF963-51C0-054F-8AA4-0436F0C9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D3FA3"/>
  </w:style>
  <w:style w:type="paragraph" w:customStyle="1" w:styleId="p2">
    <w:name w:val="p2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D3FA3"/>
  </w:style>
  <w:style w:type="paragraph" w:customStyle="1" w:styleId="p3">
    <w:name w:val="p3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2025-12-27T22:10:00Z</dcterms:created>
  <dcterms:modified xsi:type="dcterms:W3CDTF">2025-12-27T22:10:00Z</dcterms:modified>
</cp:coreProperties>
</file>