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F24E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Intercampus Fiber Ring and Super-Cluster Architecture Plan</w:t>
      </w:r>
    </w:p>
    <w:p w14:paraId="31CE7DEB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C16348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6B0AA2DC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16CCBC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This document formalizes the decision to deploy an owned, ringed dark-fiber network interconnecting the Heber Campus and the Holbrook Ranch Campus, tying both into the I-40 east-west long-haul corridor and the SR-260 regional corridor. This architecture creates a resilient, carrier-optional, high-capacity super-cluster capable of supporting advanced compute, simulation, R&amp;D, and future space operations.</w:t>
      </w:r>
    </w:p>
    <w:p w14:paraId="0FB8F0B0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F63FBE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The objective is simple: eliminate single points of failure, remove carrier dependency, and build infrastructure once that scales from early operations through full orbital shipyard (OSY) development.</w:t>
      </w:r>
    </w:p>
    <w:p w14:paraId="35F83184" w14:textId="77777777" w:rsidR="007E4EAE" w:rsidRPr="007E4EAE" w:rsidRDefault="007E4EAE" w:rsidP="007E4E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EA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34982F" wp14:editId="63BF0CCD">
                <wp:extent cx="5943600" cy="1270"/>
                <wp:effectExtent l="0" t="31750" r="0" b="36830"/>
                <wp:docPr id="173703798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47EA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907876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Context</w:t>
      </w:r>
    </w:p>
    <w:p w14:paraId="7A6A02BB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F7C528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The Heber and Holbrook campuses are being developed as complementary infrastructure nodes rather than isolated facilities. Each campus brings distinct advantages:</w:t>
      </w:r>
    </w:p>
    <w:p w14:paraId="6F5367B8" w14:textId="77777777" w:rsidR="007E4EAE" w:rsidRPr="007E4EAE" w:rsidRDefault="007E4EAE" w:rsidP="007E4E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Heber Campus: primary operations, control, development, and integration center.</w:t>
      </w:r>
    </w:p>
    <w:p w14:paraId="6DBEF607" w14:textId="77777777" w:rsidR="007E4EAE" w:rsidRPr="007E4EAE" w:rsidRDefault="007E4EAE" w:rsidP="007E4E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Holbrook Ranch Campus: long-haul injection, logistics adjacency, and expansion capacity.</w:t>
      </w:r>
    </w:p>
    <w:p w14:paraId="51F151DE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DE9E12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Connecting these campuses with owned fiber transforms them into a single logical system with multiple physical fault domains.</w:t>
      </w:r>
    </w:p>
    <w:p w14:paraId="4462EC02" w14:textId="77777777" w:rsidR="007E4EAE" w:rsidRPr="007E4EAE" w:rsidRDefault="007E4EAE" w:rsidP="007E4E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EA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5B0A7C" wp14:editId="46AE141C">
                <wp:extent cx="5943600" cy="1270"/>
                <wp:effectExtent l="0" t="31750" r="0" b="36830"/>
                <wp:docPr id="5130538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A1C7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04EFE8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Network Topology Overview</w:t>
      </w:r>
    </w:p>
    <w:p w14:paraId="32744F54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141E43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Physical Ring Architecture</w:t>
      </w:r>
    </w:p>
    <w:p w14:paraId="25D9B487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EF5DC2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The proposed fiber topology forms a closed regional loop:</w:t>
      </w:r>
    </w:p>
    <w:p w14:paraId="18ECB698" w14:textId="77777777" w:rsidR="007E4EAE" w:rsidRPr="007E4EAE" w:rsidRDefault="007E4EAE" w:rsidP="007E4E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Winslow (I-40 long-haul injection)</w:t>
      </w:r>
    </w:p>
    <w:p w14:paraId="4C2593E6" w14:textId="77777777" w:rsidR="007E4EAE" w:rsidRPr="007E4EAE" w:rsidRDefault="007E4EAE" w:rsidP="007E4E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Holbrook</w:t>
      </w:r>
    </w:p>
    <w:p w14:paraId="58A7BE9D" w14:textId="77777777" w:rsidR="007E4EAE" w:rsidRPr="007E4EAE" w:rsidRDefault="007E4EAE" w:rsidP="007E4E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Snowflake</w:t>
      </w:r>
    </w:p>
    <w:p w14:paraId="364861A1" w14:textId="77777777" w:rsidR="007E4EAE" w:rsidRPr="007E4EAE" w:rsidRDefault="007E4EAE" w:rsidP="007E4E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Show Low</w:t>
      </w:r>
    </w:p>
    <w:p w14:paraId="11D63A1A" w14:textId="77777777" w:rsidR="007E4EAE" w:rsidRPr="007E4EAE" w:rsidRDefault="007E4EAE" w:rsidP="007E4E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Heber Campus</w:t>
      </w:r>
    </w:p>
    <w:p w14:paraId="627FBE67" w14:textId="77777777" w:rsidR="007E4EAE" w:rsidRPr="007E4EAE" w:rsidRDefault="007E4EAE" w:rsidP="007E4E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Return to Winslow</w:t>
      </w:r>
    </w:p>
    <w:p w14:paraId="59B84FC8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D987BF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This ring is reinforced by:</w:t>
      </w:r>
    </w:p>
    <w:p w14:paraId="4A3966EE" w14:textId="77777777" w:rsidR="007E4EAE" w:rsidRPr="007E4EAE" w:rsidRDefault="007E4EAE" w:rsidP="007E4E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Southern egress from Heber to Phoenix via SR-260 / I-17</w:t>
      </w:r>
    </w:p>
    <w:p w14:paraId="172E8950" w14:textId="77777777" w:rsidR="007E4EAE" w:rsidRPr="007E4EAE" w:rsidRDefault="007E4EAE" w:rsidP="007E4E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Secondary southern route via US-60 through Globe to Apache Junction</w:t>
      </w:r>
    </w:p>
    <w:p w14:paraId="6F567529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D9A173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The result is a true multi-path regional backbone, not a hub-and-spoke dependency.</w:t>
      </w:r>
    </w:p>
    <w:p w14:paraId="5213A6D9" w14:textId="77777777" w:rsidR="007E4EAE" w:rsidRPr="007E4EAE" w:rsidRDefault="007E4EAE" w:rsidP="007E4E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EA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464094" wp14:editId="65282F67">
                <wp:extent cx="5943600" cy="1270"/>
                <wp:effectExtent l="0" t="31750" r="0" b="36830"/>
                <wp:docPr id="142373920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77B6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F4A627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Path Was Chosen</w:t>
      </w:r>
    </w:p>
    <w:p w14:paraId="0296FF69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D11F6E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Control Over the Glass</w:t>
      </w:r>
    </w:p>
    <w:p w14:paraId="72AFB952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656105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Owning the fiber removes dependency on carrier routing decisions, maintenance schedules, and escalation timelines. It enables:</w:t>
      </w:r>
    </w:p>
    <w:p w14:paraId="7E47DBBF" w14:textId="77777777" w:rsidR="007E4EAE" w:rsidRPr="007E4EAE" w:rsidRDefault="007E4EAE" w:rsidP="007E4E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Private DWDM deployment</w:t>
      </w:r>
    </w:p>
    <w:p w14:paraId="25C633E9" w14:textId="77777777" w:rsidR="007E4EAE" w:rsidRPr="007E4EAE" w:rsidRDefault="007E4EAE" w:rsidP="007E4E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Deterministic latency</w:t>
      </w:r>
    </w:p>
    <w:p w14:paraId="3FC23F58" w14:textId="77777777" w:rsidR="007E4EAE" w:rsidRPr="007E4EAE" w:rsidRDefault="007E4EAE" w:rsidP="007E4E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Capacity scaling without renegotiation</w:t>
      </w:r>
    </w:p>
    <w:p w14:paraId="1A04FAAC" w14:textId="77777777" w:rsidR="007E4EAE" w:rsidRPr="007E4EAE" w:rsidRDefault="007E4EAE" w:rsidP="007E4E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Dark fiber leasing and IRU monetization</w:t>
      </w:r>
    </w:p>
    <w:p w14:paraId="4C115AF2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DAD42C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Elimination of Common-Mode Failures</w:t>
      </w:r>
    </w:p>
    <w:p w14:paraId="760A8927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3C8FF6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Ring topology ensures:</w:t>
      </w:r>
    </w:p>
    <w:p w14:paraId="676B8E55" w14:textId="77777777" w:rsidR="007E4EAE" w:rsidRPr="007E4EAE" w:rsidRDefault="007E4EAE" w:rsidP="007E4E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No single trench cut isolates a campus</w:t>
      </w:r>
    </w:p>
    <w:p w14:paraId="24403509" w14:textId="77777777" w:rsidR="007E4EAE" w:rsidRPr="007E4EAE" w:rsidRDefault="007E4EAE" w:rsidP="007E4E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Wildfire, monsoon, or construction events remain localized</w:t>
      </w:r>
    </w:p>
    <w:p w14:paraId="4E3F7229" w14:textId="77777777" w:rsidR="007E4EAE" w:rsidRPr="007E4EAE" w:rsidRDefault="007E4EAE" w:rsidP="007E4E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Multiple ingress and egress options remain available at all times</w:t>
      </w:r>
    </w:p>
    <w:p w14:paraId="730B6B34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1CA1B4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Carrier Optionality</w:t>
      </w:r>
    </w:p>
    <w:p w14:paraId="1D743AF4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065DD6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Carriers become interchangeable upstream providers, not gatekeepers. The network can:</w:t>
      </w:r>
    </w:p>
    <w:p w14:paraId="024AA141" w14:textId="77777777" w:rsidR="007E4EAE" w:rsidRPr="007E4EAE" w:rsidRDefault="007E4EAE" w:rsidP="007E4E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Hand off traffic at multiple I-40 and Phoenix metro locations</w:t>
      </w:r>
    </w:p>
    <w:p w14:paraId="0418EB2C" w14:textId="77777777" w:rsidR="007E4EAE" w:rsidRPr="007E4EAE" w:rsidRDefault="007E4EAE" w:rsidP="007E4E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Shift traffic away from degraded corridors</w:t>
      </w:r>
    </w:p>
    <w:p w14:paraId="4B029F13" w14:textId="77777777" w:rsidR="007E4EAE" w:rsidRPr="007E4EAE" w:rsidRDefault="007E4EAE" w:rsidP="007E4E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Negotiate pricing from a position of leverage</w:t>
      </w:r>
    </w:p>
    <w:p w14:paraId="3E9D6D32" w14:textId="77777777" w:rsidR="007E4EAE" w:rsidRPr="007E4EAE" w:rsidRDefault="007E4EAE" w:rsidP="007E4E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EA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AF60C0" wp14:editId="501F99E3">
                <wp:extent cx="5943600" cy="1270"/>
                <wp:effectExtent l="0" t="31750" r="0" b="36830"/>
                <wp:docPr id="30397194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8B6F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72EC6F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Pain Points and Mitigations</w:t>
      </w:r>
    </w:p>
    <w:p w14:paraId="2BE52CED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F94855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Pain Points</w:t>
      </w:r>
    </w:p>
    <w:p w14:paraId="23589C41" w14:textId="77777777" w:rsidR="007E4EAE" w:rsidRPr="007E4EAE" w:rsidRDefault="007E4EAE" w:rsidP="007E4E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Higher upfront capital cost versus leased circuits</w:t>
      </w:r>
    </w:p>
    <w:p w14:paraId="196F2602" w14:textId="77777777" w:rsidR="007E4EAE" w:rsidRPr="007E4EAE" w:rsidRDefault="007E4EAE" w:rsidP="007E4E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Permitting coordination across counties and ROWs</w:t>
      </w:r>
    </w:p>
    <w:p w14:paraId="5811DDA3" w14:textId="77777777" w:rsidR="007E4EAE" w:rsidRPr="007E4EAE" w:rsidRDefault="007E4EAE" w:rsidP="007E4E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Initial engineering complexity</w:t>
      </w:r>
    </w:p>
    <w:p w14:paraId="407097EC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810D2E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Mitigations</w:t>
      </w:r>
    </w:p>
    <w:p w14:paraId="03E36C64" w14:textId="77777777" w:rsidR="007E4EAE" w:rsidRPr="007E4EAE" w:rsidRDefault="007E4EAE" w:rsidP="007E4E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Fiber is co-installed with rail and pipeline ROWs to minimize incremental cost</w:t>
      </w:r>
    </w:p>
    <w:p w14:paraId="46C1E12A" w14:textId="77777777" w:rsidR="007E4EAE" w:rsidRPr="007E4EAE" w:rsidRDefault="007E4EAE" w:rsidP="007E4E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Multi-duct installation allows future expansion without retrenching</w:t>
      </w:r>
    </w:p>
    <w:p w14:paraId="16E7E1E0" w14:textId="77777777" w:rsidR="007E4EAE" w:rsidRPr="007E4EAE" w:rsidRDefault="007E4EAE" w:rsidP="007E4E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Long asset life amortizes cost over decades</w:t>
      </w:r>
    </w:p>
    <w:p w14:paraId="58D10B24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A549D4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Short-term complexity is intentionally traded for long-term operational dominance.</w:t>
      </w:r>
    </w:p>
    <w:p w14:paraId="6E0E3D7A" w14:textId="77777777" w:rsidR="007E4EAE" w:rsidRPr="007E4EAE" w:rsidRDefault="007E4EAE" w:rsidP="007E4E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EA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75F8822" wp14:editId="56F6650E">
                <wp:extent cx="5943600" cy="1270"/>
                <wp:effectExtent l="0" t="31750" r="0" b="36830"/>
                <wp:docPr id="56133864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2B02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596E01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Superiority of the Ringed Solution</w:t>
      </w:r>
    </w:p>
    <w:p w14:paraId="08DDD96F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EB2C39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The ringed architecture enables:</w:t>
      </w:r>
    </w:p>
    <w:p w14:paraId="760C69AF" w14:textId="77777777" w:rsidR="007E4EAE" w:rsidRPr="007E4EAE" w:rsidRDefault="007E4EAE" w:rsidP="007E4E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Active-active campus operations</w:t>
      </w:r>
    </w:p>
    <w:p w14:paraId="553F5CC1" w14:textId="77777777" w:rsidR="007E4EAE" w:rsidRPr="007E4EAE" w:rsidRDefault="007E4EAE" w:rsidP="007E4E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Live migration of workloads between campuses</w:t>
      </w:r>
    </w:p>
    <w:p w14:paraId="7AD62D74" w14:textId="77777777" w:rsidR="007E4EAE" w:rsidRPr="007E4EAE" w:rsidRDefault="007E4EAE" w:rsidP="007E4E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Zero-downtime maintenance windows</w:t>
      </w:r>
    </w:p>
    <w:p w14:paraId="059AB713" w14:textId="77777777" w:rsidR="007E4EAE" w:rsidRPr="007E4EAE" w:rsidRDefault="007E4EAE" w:rsidP="007E4E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Segmented security domains with shared control plane</w:t>
      </w:r>
    </w:p>
    <w:p w14:paraId="1B6E1804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9C0933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This is not achievable with single-carrier metro connectivity.</w:t>
      </w:r>
    </w:p>
    <w:p w14:paraId="2219C8C3" w14:textId="77777777" w:rsidR="007E4EAE" w:rsidRPr="007E4EAE" w:rsidRDefault="007E4EAE" w:rsidP="007E4E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EA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8FA8B8" wp14:editId="3348847E">
                <wp:extent cx="5943600" cy="1270"/>
                <wp:effectExtent l="0" t="31750" r="0" b="36830"/>
                <wp:docPr id="91776737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CAB3C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37B582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Intercampus Super-Cluster Requirements</w:t>
      </w:r>
    </w:p>
    <w:p w14:paraId="3E3B1FCF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400B08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Owned fiber interconnect is a hard requirement to support:</w:t>
      </w:r>
    </w:p>
    <w:p w14:paraId="1CF43303" w14:textId="77777777" w:rsidR="007E4EAE" w:rsidRPr="007E4EAE" w:rsidRDefault="007E4EAE" w:rsidP="007E4E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Large-scale world engine environments for simulation and training</w:t>
      </w:r>
    </w:p>
    <w:p w14:paraId="5F55AC5D" w14:textId="77777777" w:rsidR="007E4EAE" w:rsidRPr="007E4EAE" w:rsidRDefault="007E4EAE" w:rsidP="007E4E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MECSAI refinement, model training, and validation loops</w:t>
      </w:r>
    </w:p>
    <w:p w14:paraId="74C2676A" w14:textId="77777777" w:rsidR="007E4EAE" w:rsidRPr="007E4EAE" w:rsidRDefault="007E4EAE" w:rsidP="007E4E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Product development pipelines requiring deterministic latency</w:t>
      </w:r>
    </w:p>
    <w:p w14:paraId="61064278" w14:textId="77777777" w:rsidR="007E4EAE" w:rsidRPr="007E4EAE" w:rsidRDefault="007E4EAE" w:rsidP="007E4E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Advanced R&amp;D operations for flight development</w:t>
      </w:r>
    </w:p>
    <w:p w14:paraId="4830E443" w14:textId="77777777" w:rsidR="007E4EAE" w:rsidRPr="007E4EAE" w:rsidRDefault="007E4EAE" w:rsidP="007E4E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Progressive migration toward orbital and space-based operations</w:t>
      </w:r>
    </w:p>
    <w:p w14:paraId="16B1C30C" w14:textId="77777777" w:rsidR="007E4EAE" w:rsidRPr="007E4EAE" w:rsidRDefault="007E4EAE" w:rsidP="007E4E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OSY buildout and ground-to-orbit coordination</w:t>
      </w:r>
    </w:p>
    <w:p w14:paraId="3C945BA2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8C1924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These workloads demand:</w:t>
      </w:r>
    </w:p>
    <w:p w14:paraId="73AD31E6" w14:textId="77777777" w:rsidR="007E4EAE" w:rsidRPr="007E4EAE" w:rsidRDefault="007E4EAE" w:rsidP="007E4E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Predictable latency</w:t>
      </w:r>
    </w:p>
    <w:p w14:paraId="56602AC1" w14:textId="77777777" w:rsidR="007E4EAE" w:rsidRPr="007E4EAE" w:rsidRDefault="007E4EAE" w:rsidP="007E4E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Massive east-west bandwidth</w:t>
      </w:r>
    </w:p>
    <w:p w14:paraId="42552506" w14:textId="77777777" w:rsidR="007E4EAE" w:rsidRPr="007E4EAE" w:rsidRDefault="007E4EAE" w:rsidP="007E4E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Secure, private transport</w:t>
      </w:r>
    </w:p>
    <w:p w14:paraId="577A3B22" w14:textId="77777777" w:rsidR="007E4EAE" w:rsidRPr="007E4EAE" w:rsidRDefault="007E4EAE" w:rsidP="007E4E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High availability under fault conditions</w:t>
      </w:r>
    </w:p>
    <w:p w14:paraId="073B6D08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D2920B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Leased or shared carrier infrastructure cannot meet these requirements reliably.</w:t>
      </w:r>
    </w:p>
    <w:p w14:paraId="62396412" w14:textId="77777777" w:rsidR="007E4EAE" w:rsidRPr="007E4EAE" w:rsidRDefault="007E4EAE" w:rsidP="007E4E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EA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00FB3F6" wp14:editId="7577A434">
                <wp:extent cx="5943600" cy="1270"/>
                <wp:effectExtent l="0" t="31750" r="0" b="36830"/>
                <wp:docPr id="118703843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2EFF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C0E998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Outcome</w:t>
      </w:r>
    </w:p>
    <w:p w14:paraId="59CE4B00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203696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By deploying an owned regional fiber ring:</w:t>
      </w:r>
    </w:p>
    <w:p w14:paraId="20DAEE70" w14:textId="77777777" w:rsidR="007E4EAE" w:rsidRPr="007E4EAE" w:rsidRDefault="007E4EAE" w:rsidP="007E4E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Heber and Holbrook operate as a single managed super-cluster</w:t>
      </w:r>
    </w:p>
    <w:p w14:paraId="09F9FF48" w14:textId="77777777" w:rsidR="007E4EAE" w:rsidRPr="007E4EAE" w:rsidRDefault="007E4EAE" w:rsidP="007E4E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 xml:space="preserve">Network resilience exceeds typical </w:t>
      </w:r>
      <w:proofErr w:type="spellStart"/>
      <w:r w:rsidRPr="007E4EAE">
        <w:rPr>
          <w:rFonts w:ascii="Times New Roman" w:hAnsi="Times New Roman" w:cs="Times New Roman"/>
          <w:kern w:val="0"/>
          <w14:ligatures w14:val="none"/>
        </w:rPr>
        <w:t>hyperscale</w:t>
      </w:r>
      <w:proofErr w:type="spellEnd"/>
      <w:r w:rsidRPr="007E4EAE">
        <w:rPr>
          <w:rFonts w:ascii="Times New Roman" w:hAnsi="Times New Roman" w:cs="Times New Roman"/>
          <w:kern w:val="0"/>
          <w14:ligatures w14:val="none"/>
        </w:rPr>
        <w:t xml:space="preserve"> metro designs</w:t>
      </w:r>
    </w:p>
    <w:p w14:paraId="56C3104C" w14:textId="77777777" w:rsidR="007E4EAE" w:rsidRPr="007E4EAE" w:rsidRDefault="007E4EAE" w:rsidP="007E4E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The campuses become infrastructure platforms, not just facilities</w:t>
      </w:r>
    </w:p>
    <w:p w14:paraId="145514B8" w14:textId="77777777" w:rsidR="007E4EAE" w:rsidRPr="007E4EAE" w:rsidRDefault="007E4EAE" w:rsidP="007E4E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Future expansion into space operations is enabled without re-architecting</w:t>
      </w:r>
    </w:p>
    <w:p w14:paraId="1F0899E8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052290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This approach positions the organization for long-term dominance in advanced compute, energy, and space infrastructure development.</w:t>
      </w:r>
    </w:p>
    <w:p w14:paraId="680BBA83" w14:textId="77777777" w:rsidR="007E4EAE" w:rsidRPr="007E4EAE" w:rsidRDefault="007E4EAE" w:rsidP="007E4E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EA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E355CF" wp14:editId="715F8B23">
                <wp:extent cx="5943600" cy="1270"/>
                <wp:effectExtent l="0" t="31750" r="0" b="36830"/>
                <wp:docPr id="41293889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488C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FF2961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Expansion Along Interstate Fiber Corridors</w:t>
      </w:r>
    </w:p>
    <w:p w14:paraId="6BE33664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AA9776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The current Heber–Holbrook ring is intentionally designed as the first segment of a much larger multi-campus architecture. Future campuses are planned along major interstate corridors where long-haul fiber density, power availability, and logistics access naturally converge.</w:t>
      </w:r>
    </w:p>
    <w:p w14:paraId="59814A61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0F5423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Planned expansion regions include:</w:t>
      </w:r>
    </w:p>
    <w:p w14:paraId="771BA7F1" w14:textId="77777777" w:rsidR="007E4EAE" w:rsidRPr="007E4EAE" w:rsidRDefault="007E4EAE" w:rsidP="007E4E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Elko, Nevada (I-80 corridor)</w:t>
      </w:r>
    </w:p>
    <w:p w14:paraId="7B06B199" w14:textId="77777777" w:rsidR="007E4EAE" w:rsidRPr="007E4EAE" w:rsidRDefault="007E4EAE" w:rsidP="007E4E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Northern Utah, Salt Lake City / Ogden region</w:t>
      </w:r>
    </w:p>
    <w:p w14:paraId="4AD82DBF" w14:textId="77777777" w:rsidR="007E4EAE" w:rsidRPr="007E4EAE" w:rsidRDefault="007E4EAE" w:rsidP="007E4E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Southern Idaho, Pocatello region</w:t>
      </w:r>
    </w:p>
    <w:p w14:paraId="625FD944" w14:textId="77777777" w:rsidR="007E4EAE" w:rsidRPr="007E4EAE" w:rsidRDefault="007E4EAE" w:rsidP="007E4E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Eastern expansion into Wyoming (site pending infrastructure validation)</w:t>
      </w:r>
    </w:p>
    <w:p w14:paraId="121F0097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665023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These locations are geographically close enough to enable additional super-cluster groupings while remaining far enough apart to create independent failure domains. All are aligned with existing interstate highway fiber trunks, enabling efficient integration without bespoke long-haul construction.</w:t>
      </w:r>
    </w:p>
    <w:p w14:paraId="521D19CB" w14:textId="77777777" w:rsidR="007E4EAE" w:rsidRPr="007E4EAE" w:rsidRDefault="007E4EAE" w:rsidP="007E4E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EA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69AC9B" wp14:editId="660FAFEA">
                <wp:extent cx="5943600" cy="1270"/>
                <wp:effectExtent l="0" t="31750" r="0" b="36830"/>
                <wp:docPr id="44277214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7AF3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735ABC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Interstate-Aligned Super-Cluster Strategy</w:t>
      </w:r>
    </w:p>
    <w:p w14:paraId="016CBDE9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BE3E6E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Leveraging fiber routes that follow interstate highways provides:</w:t>
      </w:r>
    </w:p>
    <w:p w14:paraId="746DD0EF" w14:textId="77777777" w:rsidR="007E4EAE" w:rsidRPr="007E4EAE" w:rsidRDefault="007E4EAE" w:rsidP="007E4E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Predictable right-of-way access</w:t>
      </w:r>
    </w:p>
    <w:p w14:paraId="33F5575D" w14:textId="77777777" w:rsidR="007E4EAE" w:rsidRPr="007E4EAE" w:rsidRDefault="007E4EAE" w:rsidP="007E4E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High fiber count trunk availability</w:t>
      </w:r>
    </w:p>
    <w:p w14:paraId="66254BE5" w14:textId="77777777" w:rsidR="007E4EAE" w:rsidRPr="007E4EAE" w:rsidRDefault="007E4EAE" w:rsidP="007E4E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Established carrier-neutral handoff locations</w:t>
      </w:r>
    </w:p>
    <w:p w14:paraId="3FDD8A7A" w14:textId="77777777" w:rsidR="007E4EAE" w:rsidRPr="007E4EAE" w:rsidRDefault="007E4EAE" w:rsidP="007E4E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Simplified permitting relative to greenfield routes</w:t>
      </w:r>
    </w:p>
    <w:p w14:paraId="31162E95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05CFD0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Each new campus becomes both a compute node and a transit asset, reinforcing the backbone rather than merely consuming it.</w:t>
      </w:r>
    </w:p>
    <w:p w14:paraId="6902358D" w14:textId="77777777" w:rsidR="007E4EAE" w:rsidRPr="007E4EAE" w:rsidRDefault="007E4EAE" w:rsidP="007E4E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EA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DC9CB9" wp14:editId="64750A38">
                <wp:extent cx="5943600" cy="1270"/>
                <wp:effectExtent l="0" t="31750" r="0" b="36830"/>
                <wp:docPr id="57394356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8BA3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CD5E02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Six-Campus Super-Massive Cluster Vision</w:t>
      </w:r>
    </w:p>
    <w:p w14:paraId="259C28E7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D9E5E7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When fully realized, the architecture supports:</w:t>
      </w:r>
    </w:p>
    <w:p w14:paraId="2C55D3C4" w14:textId="77777777" w:rsidR="007E4EAE" w:rsidRPr="007E4EAE" w:rsidRDefault="007E4EAE" w:rsidP="007E4E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Six geographically distributed campuses</w:t>
      </w:r>
    </w:p>
    <w:p w14:paraId="73A9E1FD" w14:textId="77777777" w:rsidR="007E4EAE" w:rsidRPr="007E4EAE" w:rsidRDefault="007E4EAE" w:rsidP="007E4E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Multiple regional super-clusters</w:t>
      </w:r>
    </w:p>
    <w:p w14:paraId="574F944E" w14:textId="77777777" w:rsidR="007E4EAE" w:rsidRPr="007E4EAE" w:rsidRDefault="007E4EAE" w:rsidP="007E4E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Redundant east–west and north–south fiber paths</w:t>
      </w:r>
    </w:p>
    <w:p w14:paraId="22F955AB" w14:textId="77777777" w:rsidR="007E4EAE" w:rsidRPr="007E4EAE" w:rsidRDefault="007E4EAE" w:rsidP="007E4E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Unified control plane with segmented physical domains</w:t>
      </w:r>
    </w:p>
    <w:p w14:paraId="52585916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5E8446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This creates a super-massive cluster capable of:</w:t>
      </w:r>
    </w:p>
    <w:p w14:paraId="1F053EC2" w14:textId="77777777" w:rsidR="007E4EAE" w:rsidRPr="007E4EAE" w:rsidRDefault="007E4EAE" w:rsidP="007E4E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Planet-scale simulation and world-engine environments</w:t>
      </w:r>
    </w:p>
    <w:p w14:paraId="27455D56" w14:textId="77777777" w:rsidR="007E4EAE" w:rsidRPr="007E4EAE" w:rsidRDefault="007E4EAE" w:rsidP="007E4E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Distributed AI training and refinement at extreme scale</w:t>
      </w:r>
    </w:p>
    <w:p w14:paraId="2B1A834F" w14:textId="77777777" w:rsidR="007E4EAE" w:rsidRPr="007E4EAE" w:rsidRDefault="007E4EAE" w:rsidP="007E4E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Coordinated MECSAI deployment across regions</w:t>
      </w:r>
    </w:p>
    <w:p w14:paraId="332C4A16" w14:textId="77777777" w:rsidR="007E4EAE" w:rsidRPr="007E4EAE" w:rsidRDefault="007E4EAE" w:rsidP="007E4E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Advanced R&amp;D for flight systems and space operations</w:t>
      </w:r>
    </w:p>
    <w:p w14:paraId="45230668" w14:textId="77777777" w:rsidR="007E4EAE" w:rsidRPr="007E4EAE" w:rsidRDefault="007E4EAE" w:rsidP="007E4E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Progressive integration with orbital shipyard (OSY) infrastructure</w:t>
      </w:r>
    </w:p>
    <w:p w14:paraId="6BB9AA81" w14:textId="77777777" w:rsidR="007E4EAE" w:rsidRPr="007E4EAE" w:rsidRDefault="007E4EAE" w:rsidP="007E4E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EA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15FC35" wp14:editId="5B796361">
                <wp:extent cx="5943600" cy="1270"/>
                <wp:effectExtent l="0" t="31750" r="0" b="36830"/>
                <wp:docPr id="93729352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517A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CF1830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Advantage of the Interstate Model</w:t>
      </w:r>
    </w:p>
    <w:p w14:paraId="3FDFD6E8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446A96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lastRenderedPageBreak/>
        <w:t>Building along interstate fiber corridors ensures that expansion remains:</w:t>
      </w:r>
    </w:p>
    <w:p w14:paraId="20B9A9FA" w14:textId="77777777" w:rsidR="007E4EAE" w:rsidRPr="007E4EAE" w:rsidRDefault="007E4EAE" w:rsidP="007E4E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Incremental rather than disruptive</w:t>
      </w:r>
    </w:p>
    <w:p w14:paraId="0DBA991D" w14:textId="77777777" w:rsidR="007E4EAE" w:rsidRPr="007E4EAE" w:rsidRDefault="007E4EAE" w:rsidP="007E4E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Carrier-optional rather than carrier-dependent</w:t>
      </w:r>
    </w:p>
    <w:p w14:paraId="4A90B757" w14:textId="77777777" w:rsidR="007E4EAE" w:rsidRPr="007E4EAE" w:rsidRDefault="007E4EAE" w:rsidP="007E4E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Scalable without architectural redesign</w:t>
      </w:r>
    </w:p>
    <w:p w14:paraId="2CD65B39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7672A6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This approach avoids the trap of isolated mega-sites and instead creates a continent-spanning compute fabric.</w:t>
      </w:r>
    </w:p>
    <w:p w14:paraId="79191514" w14:textId="77777777" w:rsidR="007E4EAE" w:rsidRPr="007E4EAE" w:rsidRDefault="007E4EAE" w:rsidP="007E4E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EA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E67041" wp14:editId="556D5CA8">
                <wp:extent cx="5943600" cy="1270"/>
                <wp:effectExtent l="0" t="33020" r="0" b="38100"/>
                <wp:docPr id="200400197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8BAE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4AAB1B" w14:textId="77777777" w:rsidR="007E4EAE" w:rsidRPr="007E4EAE" w:rsidRDefault="007E4EAE" w:rsidP="007E4EA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15931AFB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7EBF70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The decision to anchor campus development along interstate-aligned fiber corridors establishes a clear, executable pathway from a two-campus regional ring to a six-campus super-massive cluster.</w:t>
      </w:r>
    </w:p>
    <w:p w14:paraId="648304A0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555F45" w14:textId="77777777" w:rsidR="007E4EAE" w:rsidRPr="007E4EAE" w:rsidRDefault="007E4EAE" w:rsidP="007E4E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E4EAE">
        <w:rPr>
          <w:rFonts w:ascii="Times New Roman" w:hAnsi="Times New Roman" w:cs="Times New Roman"/>
          <w:kern w:val="0"/>
          <w14:ligatures w14:val="none"/>
        </w:rPr>
        <w:t>This strategy transforms infrastructure geography into a competitive advantage and positions the organization to scale terrestrial operations seamlessly into full space-based systems without re-architecting core connectivity.</w:t>
      </w:r>
    </w:p>
    <w:p w14:paraId="6FE6BCEA" w14:textId="77777777" w:rsidR="009C055D" w:rsidRPr="007E4EAE" w:rsidRDefault="009C055D" w:rsidP="007E4EAE"/>
    <w:sectPr w:rsidR="009C055D" w:rsidRPr="007E4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74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D41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D17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D63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24A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E3B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B34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C61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A79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21F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C70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232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229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337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C60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742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65C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A62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10D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A12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C56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021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C4D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A5B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25A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EC37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747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40E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D21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033765">
    <w:abstractNumId w:val="10"/>
  </w:num>
  <w:num w:numId="2" w16cid:durableId="1553269174">
    <w:abstractNumId w:val="7"/>
  </w:num>
  <w:num w:numId="3" w16cid:durableId="72434850">
    <w:abstractNumId w:val="17"/>
  </w:num>
  <w:num w:numId="4" w16cid:durableId="1252742715">
    <w:abstractNumId w:val="14"/>
  </w:num>
  <w:num w:numId="5" w16cid:durableId="1041977762">
    <w:abstractNumId w:val="19"/>
  </w:num>
  <w:num w:numId="6" w16cid:durableId="598298095">
    <w:abstractNumId w:val="28"/>
  </w:num>
  <w:num w:numId="7" w16cid:durableId="1345983199">
    <w:abstractNumId w:val="2"/>
  </w:num>
  <w:num w:numId="8" w16cid:durableId="1704744861">
    <w:abstractNumId w:val="8"/>
  </w:num>
  <w:num w:numId="9" w16cid:durableId="122819361">
    <w:abstractNumId w:val="21"/>
  </w:num>
  <w:num w:numId="10" w16cid:durableId="307827743">
    <w:abstractNumId w:val="3"/>
  </w:num>
  <w:num w:numId="11" w16cid:durableId="2028485119">
    <w:abstractNumId w:val="4"/>
  </w:num>
  <w:num w:numId="12" w16cid:durableId="2087650190">
    <w:abstractNumId w:val="9"/>
  </w:num>
  <w:num w:numId="13" w16cid:durableId="1518348033">
    <w:abstractNumId w:val="12"/>
  </w:num>
  <w:num w:numId="14" w16cid:durableId="1220558567">
    <w:abstractNumId w:val="5"/>
  </w:num>
  <w:num w:numId="15" w16cid:durableId="2032103825">
    <w:abstractNumId w:val="22"/>
  </w:num>
  <w:num w:numId="16" w16cid:durableId="1930652036">
    <w:abstractNumId w:val="6"/>
  </w:num>
  <w:num w:numId="17" w16cid:durableId="134638570">
    <w:abstractNumId w:val="11"/>
  </w:num>
  <w:num w:numId="18" w16cid:durableId="609237351">
    <w:abstractNumId w:val="18"/>
  </w:num>
  <w:num w:numId="19" w16cid:durableId="696586197">
    <w:abstractNumId w:val="24"/>
  </w:num>
  <w:num w:numId="20" w16cid:durableId="1217472293">
    <w:abstractNumId w:val="1"/>
  </w:num>
  <w:num w:numId="21" w16cid:durableId="423110040">
    <w:abstractNumId w:val="27"/>
  </w:num>
  <w:num w:numId="22" w16cid:durableId="408163206">
    <w:abstractNumId w:val="25"/>
  </w:num>
  <w:num w:numId="23" w16cid:durableId="1465348300">
    <w:abstractNumId w:val="13"/>
  </w:num>
  <w:num w:numId="24" w16cid:durableId="1977296820">
    <w:abstractNumId w:val="0"/>
  </w:num>
  <w:num w:numId="25" w16cid:durableId="560478737">
    <w:abstractNumId w:val="20"/>
  </w:num>
  <w:num w:numId="26" w16cid:durableId="1088423136">
    <w:abstractNumId w:val="23"/>
  </w:num>
  <w:num w:numId="27" w16cid:durableId="1042051083">
    <w:abstractNumId w:val="16"/>
  </w:num>
  <w:num w:numId="28" w16cid:durableId="2130388943">
    <w:abstractNumId w:val="15"/>
  </w:num>
  <w:num w:numId="29" w16cid:durableId="12064120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5D"/>
    <w:rsid w:val="00387401"/>
    <w:rsid w:val="003F71AB"/>
    <w:rsid w:val="005B0596"/>
    <w:rsid w:val="0076451C"/>
    <w:rsid w:val="007E4EAE"/>
    <w:rsid w:val="009C055D"/>
    <w:rsid w:val="00CE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F6DC8"/>
  <w15:chartTrackingRefBased/>
  <w15:docId w15:val="{7EEEEE7A-4854-6745-B35A-4373BD46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55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C055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C055D"/>
  </w:style>
  <w:style w:type="paragraph" w:customStyle="1" w:styleId="p2">
    <w:name w:val="p2"/>
    <w:basedOn w:val="Normal"/>
    <w:rsid w:val="009C055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C055D"/>
  </w:style>
  <w:style w:type="paragraph" w:customStyle="1" w:styleId="p3">
    <w:name w:val="p3"/>
    <w:basedOn w:val="Normal"/>
    <w:rsid w:val="009C055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1034</Words>
  <Characters>5898</Characters>
  <Application>Microsoft Office Word</Application>
  <DocSecurity>0</DocSecurity>
  <Lines>49</Lines>
  <Paragraphs>13</Paragraphs>
  <ScaleCrop>false</ScaleCrop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2026-01-13T17:46:00Z</dcterms:created>
  <dcterms:modified xsi:type="dcterms:W3CDTF">2026-01-13T17:46:00Z</dcterms:modified>
</cp:coreProperties>
</file>